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9087F0">
      <w:pPr>
        <w:pStyle w:val="7"/>
        <w:tabs>
          <w:tab w:val="right" w:pos="9781"/>
          <w:tab w:val="right" w:pos="13323"/>
          <w:tab w:val="clear" w:pos="4153"/>
          <w:tab w:val="clear" w:pos="8306"/>
        </w:tabs>
        <w:outlineLvl w:val="0"/>
        <w:rPr>
          <w:rFonts w:hint="default" w:eastAsia="宋体"/>
          <w:b/>
          <w:sz w:val="24"/>
          <w:szCs w:val="24"/>
          <w:highlight w:val="none"/>
          <w:lang w:val="en-US" w:eastAsia="zh-CN"/>
        </w:rPr>
      </w:pPr>
      <w:bookmarkStart w:id="0" w:name="OLE_LINK11"/>
      <w:bookmarkStart w:id="1" w:name="OLE_LINK12"/>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16</w:t>
      </w:r>
      <w:r>
        <w:rPr>
          <w:rFonts w:hint="eastAsia"/>
          <w:b/>
          <w:sz w:val="24"/>
          <w:szCs w:val="24"/>
          <w:highlight w:val="none"/>
        </w:rPr>
        <w:t xml:space="preserve">                           </w:t>
      </w:r>
      <w:r>
        <w:rPr>
          <w:b/>
          <w:sz w:val="24"/>
          <w:szCs w:val="24"/>
          <w:highlight w:val="none"/>
        </w:rPr>
        <w:t xml:space="preserve">  R4-2</w:t>
      </w:r>
      <w:r>
        <w:rPr>
          <w:rFonts w:hint="eastAsia" w:eastAsia="宋体"/>
          <w:b/>
          <w:sz w:val="24"/>
          <w:szCs w:val="24"/>
          <w:highlight w:val="none"/>
          <w:lang w:val="en-US" w:eastAsia="zh-CN"/>
        </w:rPr>
        <w:t>510155</w:t>
      </w:r>
      <w:r>
        <w:rPr>
          <w:b/>
          <w:sz w:val="24"/>
          <w:szCs w:val="24"/>
          <w:highlight w:val="none"/>
        </w:rPr>
        <w:t xml:space="preserve">                          </w:t>
      </w:r>
    </w:p>
    <w:bookmarkEnd w:id="0"/>
    <w:bookmarkEnd w:id="1"/>
    <w:p w14:paraId="5C25862B">
      <w:pPr>
        <w:pStyle w:val="7"/>
        <w:tabs>
          <w:tab w:val="right" w:pos="9781"/>
          <w:tab w:val="right" w:pos="13323"/>
          <w:tab w:val="clear" w:pos="4153"/>
          <w:tab w:val="clear" w:pos="8306"/>
        </w:tabs>
        <w:outlineLvl w:val="0"/>
        <w:rPr>
          <w:rFonts w:hint="default" w:ascii="Times New Roman" w:hAnsi="Times New Roman" w:cs="Times New Roman"/>
          <w:b/>
          <w:sz w:val="24"/>
          <w:szCs w:val="24"/>
          <w:highlight w:val="none"/>
        </w:rPr>
      </w:pPr>
      <w:r>
        <w:rPr>
          <w:rFonts w:hint="default" w:ascii="Times New Roman" w:hAnsi="Times New Roman" w:eastAsia="宋体" w:cs="Times New Roman"/>
          <w:b/>
          <w:sz w:val="24"/>
          <w:szCs w:val="24"/>
          <w:lang w:eastAsia="zh-CN"/>
        </w:rPr>
        <w:t>Bengaluru, India, August 25</w:t>
      </w:r>
      <w:r>
        <w:rPr>
          <w:rFonts w:hint="default" w:ascii="Times New Roman" w:hAnsi="Times New Roman" w:eastAsia="宋体" w:cs="Times New Roman"/>
          <w:b/>
          <w:sz w:val="24"/>
          <w:szCs w:val="24"/>
          <w:vertAlign w:val="superscript"/>
          <w:lang w:eastAsia="zh-CN"/>
        </w:rPr>
        <w:t>th</w:t>
      </w:r>
      <w:r>
        <w:rPr>
          <w:rFonts w:hint="default" w:ascii="Times New Roman" w:hAnsi="Times New Roman" w:eastAsia="宋体" w:cs="Times New Roman"/>
          <w:b/>
          <w:sz w:val="24"/>
          <w:szCs w:val="24"/>
          <w:lang w:eastAsia="zh-CN"/>
        </w:rPr>
        <w:t xml:space="preserve"> – 29</w:t>
      </w:r>
      <w:r>
        <w:rPr>
          <w:rFonts w:hint="default" w:ascii="Times New Roman" w:hAnsi="Times New Roman" w:eastAsia="宋体" w:cs="Times New Roman"/>
          <w:b/>
          <w:sz w:val="24"/>
          <w:szCs w:val="24"/>
          <w:vertAlign w:val="superscript"/>
          <w:lang w:eastAsia="zh-CN"/>
        </w:rPr>
        <w:t>th</w:t>
      </w:r>
      <w:r>
        <w:rPr>
          <w:rFonts w:hint="default" w:ascii="Times New Roman" w:hAnsi="Times New Roman" w:eastAsia="宋体" w:cs="Times New Roman"/>
          <w:b/>
          <w:sz w:val="24"/>
          <w:szCs w:val="24"/>
          <w:lang w:eastAsia="zh-CN"/>
        </w:rPr>
        <w:t>,</w:t>
      </w:r>
      <w:r>
        <w:rPr>
          <w:rFonts w:hint="default" w:ascii="Times New Roman" w:hAnsi="Times New Roman" w:cs="Times New Roman"/>
          <w:b/>
          <w:bCs/>
          <w:sz w:val="24"/>
          <w:highlight w:val="none"/>
        </w:rPr>
        <w:t xml:space="preserve"> 2025</w:t>
      </w:r>
    </w:p>
    <w:p w14:paraId="19C21F07">
      <w:pPr>
        <w:tabs>
          <w:tab w:val="left" w:pos="1985"/>
        </w:tabs>
        <w:rPr>
          <w:rFonts w:ascii="Times New Roman" w:hAnsi="Times New Roman"/>
          <w:b/>
          <w:sz w:val="22"/>
          <w:highlight w:val="none"/>
        </w:rPr>
      </w:pPr>
    </w:p>
    <w:p w14:paraId="0F6ADD6A">
      <w:pPr>
        <w:tabs>
          <w:tab w:val="left" w:pos="1765"/>
        </w:tabs>
        <w:rPr>
          <w:rFonts w:hint="default" w:ascii="Times New Roman" w:hAnsi="Times New Roman" w:eastAsia="宋体"/>
          <w:b/>
          <w:sz w:val="22"/>
          <w:highlight w:val="none"/>
          <w:lang w:val="en-US"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7</w:t>
      </w:r>
      <w:r>
        <w:rPr>
          <w:rFonts w:ascii="Times New Roman" w:hAnsi="Times New Roman"/>
          <w:sz w:val="22"/>
          <w:highlight w:val="none"/>
        </w:rPr>
        <w:t>.</w:t>
      </w:r>
      <w:r>
        <w:rPr>
          <w:rFonts w:hint="eastAsia" w:ascii="Times New Roman" w:hAnsi="Times New Roman"/>
          <w:sz w:val="22"/>
          <w:highlight w:val="none"/>
          <w:lang w:val="en-US" w:eastAsia="zh-CN"/>
        </w:rPr>
        <w:t>14</w:t>
      </w:r>
      <w:r>
        <w:rPr>
          <w:rFonts w:hint="eastAsia" w:ascii="Times New Roman" w:hAnsi="Times New Roman"/>
          <w:sz w:val="22"/>
          <w:highlight w:val="none"/>
        </w:rPr>
        <w:t>.</w:t>
      </w:r>
      <w:r>
        <w:rPr>
          <w:rFonts w:hint="eastAsia" w:ascii="Times New Roman" w:hAnsi="Times New Roman"/>
          <w:sz w:val="22"/>
          <w:highlight w:val="none"/>
          <w:lang w:val="en-US" w:eastAsia="zh-CN"/>
        </w:rPr>
        <w:t>3.2</w:t>
      </w:r>
    </w:p>
    <w:p w14:paraId="56D784BA">
      <w:pPr>
        <w:tabs>
          <w:tab w:val="left" w:pos="1765"/>
        </w:tabs>
        <w:rPr>
          <w:rFonts w:ascii="Times New Roman" w:hAnsi="Times New Roman"/>
          <w:sz w:val="22"/>
          <w:highlight w:val="none"/>
        </w:rPr>
      </w:pPr>
      <w:r>
        <w:rPr>
          <w:rFonts w:ascii="Times New Roman" w:hAnsi="Times New Roman"/>
          <w:b/>
          <w:sz w:val="22"/>
          <w:highlight w:val="none"/>
        </w:rPr>
        <w:t xml:space="preserve">Source: </w:t>
      </w:r>
      <w:r>
        <w:rPr>
          <w:rFonts w:ascii="Times New Roman" w:hAnsi="Times New Roman"/>
          <w:b/>
          <w:sz w:val="22"/>
          <w:highlight w:val="none"/>
        </w:rPr>
        <w:tab/>
      </w:r>
      <w:r>
        <w:rPr>
          <w:rFonts w:ascii="Times New Roman" w:hAnsi="Times New Roman"/>
          <w:sz w:val="22"/>
          <w:highlight w:val="none"/>
        </w:rPr>
        <w:t>CMCC</w:t>
      </w:r>
    </w:p>
    <w:p w14:paraId="627E5AAC">
      <w:pPr>
        <w:rPr>
          <w:rFonts w:hint="default" w:ascii="Times New Roman" w:hAnsi="Times New Roman" w:eastAsia="宋体"/>
          <w:sz w:val="22"/>
          <w:highlight w:val="none"/>
          <w:lang w:val="en-US" w:eastAsia="zh-CN"/>
        </w:rPr>
      </w:pPr>
      <w:r>
        <w:rPr>
          <w:rFonts w:ascii="Times New Roman" w:hAnsi="Times New Roman"/>
          <w:b/>
          <w:sz w:val="22"/>
          <w:highlight w:val="none"/>
        </w:rPr>
        <w:t xml:space="preserve">Title: </w:t>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ab/>
      </w:r>
      <w:bookmarkStart w:id="2" w:name="OLE_LINK23"/>
      <w:bookmarkStart w:id="3" w:name="OLE_LINK24"/>
      <w:bookmarkStart w:id="4" w:name="OLE_LINK8"/>
      <w:bookmarkStart w:id="5" w:name="OLE_LINK7"/>
      <w:r>
        <w:rPr>
          <w:rFonts w:hint="eastAsia" w:ascii="Times New Roman" w:hAnsi="Times New Roman"/>
          <w:b/>
          <w:sz w:val="22"/>
          <w:highlight w:val="none"/>
          <w:lang w:val="en-US" w:eastAsia="zh-CN"/>
        </w:rPr>
        <w:t xml:space="preserve"> </w:t>
      </w:r>
      <w:r>
        <w:rPr>
          <w:rFonts w:ascii="Times New Roman" w:hAnsi="Times New Roman"/>
          <w:sz w:val="22"/>
          <w:highlight w:val="none"/>
        </w:rPr>
        <w:t>D</w:t>
      </w:r>
      <w:r>
        <w:rPr>
          <w:rFonts w:hint="eastAsia" w:ascii="Times New Roman" w:hAnsi="Times New Roman"/>
          <w:sz w:val="22"/>
          <w:highlight w:val="none"/>
        </w:rPr>
        <w:t xml:space="preserve">iscussion on </w:t>
      </w:r>
      <w:bookmarkEnd w:id="2"/>
      <w:bookmarkEnd w:id="3"/>
      <w:r>
        <w:rPr>
          <w:rFonts w:hint="eastAsia" w:ascii="Times New Roman" w:hAnsi="Times New Roman"/>
          <w:sz w:val="22"/>
          <w:highlight w:val="none"/>
          <w:lang w:val="en-US" w:eastAsia="zh-CN"/>
        </w:rPr>
        <w:t>L3 measurement delay reduction by optimizing CSSF outside gap in CA/DC</w:t>
      </w:r>
    </w:p>
    <w:bookmarkEnd w:id="4"/>
    <w:bookmarkEnd w:id="5"/>
    <w:p w14:paraId="14EC595A">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26D35311">
      <w:pPr>
        <w:pStyle w:val="2"/>
        <w:widowControl/>
        <w:numPr>
          <w:ilvl w:val="0"/>
          <w:numId w:val="3"/>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4FEF9780">
      <w:pPr>
        <w:keepNext w:val="0"/>
        <w:keepLines w:val="0"/>
        <w:pageBreakBefore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In RAN #103 meeting, the new WID on RRM enhancements was approved [1]. According to the WID, one of the objectives is FR2-1 SSB based L3 measurement delay reduction for connected mode, the details are duplicated as following.</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48832B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noWrap w:val="0"/>
            <w:vAlign w:val="top"/>
          </w:tcPr>
          <w:p w14:paraId="7E3750B6">
            <w:pPr>
              <w:keepNext w:val="0"/>
              <w:keepLines w:val="0"/>
              <w:pageBreakBefore w:val="0"/>
              <w:numPr>
                <w:ilvl w:val="0"/>
                <w:numId w:val="4"/>
              </w:numPr>
              <w:kinsoku/>
              <w:wordWrap/>
              <w:overflowPunct/>
              <w:topLinePunct w:val="0"/>
              <w:autoSpaceDE/>
              <w:autoSpaceDN/>
              <w:bidi w:val="0"/>
              <w:adjustRightInd/>
              <w:snapToGrid/>
              <w:spacing w:after="180" w:line="240" w:lineRule="auto"/>
              <w:ind w:left="420" w:leftChars="0" w:hanging="420" w:firstLineChars="0"/>
              <w:textAlignment w:val="auto"/>
              <w:rPr>
                <w:rFonts w:hint="default" w:ascii="Times New Roman" w:hAnsi="Times New Roman"/>
                <w:sz w:val="20"/>
                <w:szCs w:val="20"/>
                <w:vertAlign w:val="baseline"/>
                <w:lang w:val="en-US" w:eastAsia="zh-CN"/>
              </w:rPr>
            </w:pPr>
            <w:r>
              <w:rPr>
                <w:rFonts w:hint="default" w:ascii="Times New Roman" w:hAnsi="Times New Roman"/>
                <w:sz w:val="20"/>
                <w:szCs w:val="20"/>
                <w:vertAlign w:val="baseline"/>
                <w:lang w:val="en-US" w:eastAsia="zh-CN"/>
              </w:rPr>
              <w:t>FR2-1 SSB based L3 measurement delay reduction for connected mode</w:t>
            </w:r>
          </w:p>
          <w:p w14:paraId="73B07E94">
            <w:pPr>
              <w:keepNext w:val="0"/>
              <w:keepLines w:val="0"/>
              <w:pageBreakBefore w:val="0"/>
              <w:numPr>
                <w:ilvl w:val="0"/>
                <w:numId w:val="5"/>
              </w:numPr>
              <w:kinsoku/>
              <w:wordWrap/>
              <w:overflowPunct/>
              <w:topLinePunct w:val="0"/>
              <w:autoSpaceDE/>
              <w:autoSpaceDN/>
              <w:bidi w:val="0"/>
              <w:adjustRightInd/>
              <w:snapToGrid/>
              <w:spacing w:after="180" w:line="240" w:lineRule="auto"/>
              <w:ind w:left="840" w:leftChars="0" w:hanging="420" w:firstLineChars="0"/>
              <w:textAlignment w:val="auto"/>
              <w:rPr>
                <w:rFonts w:hint="default" w:ascii="Times New Roman" w:hAnsi="Times New Roman"/>
                <w:sz w:val="20"/>
                <w:szCs w:val="20"/>
                <w:vertAlign w:val="baseline"/>
                <w:lang w:val="en-US" w:eastAsia="zh-CN"/>
              </w:rPr>
            </w:pPr>
            <w:r>
              <w:rPr>
                <w:rFonts w:hint="default" w:ascii="Times New Roman" w:hAnsi="Times New Roman"/>
                <w:sz w:val="20"/>
                <w:szCs w:val="20"/>
                <w:vertAlign w:val="baseline"/>
                <w:lang w:val="en-US" w:eastAsia="zh-CN"/>
              </w:rPr>
              <w:t xml:space="preserve">For UE supporting multiple-Rx simultaneous reception on single carrier: </w:t>
            </w:r>
          </w:p>
          <w:p w14:paraId="4D2132B9">
            <w:pPr>
              <w:keepNext w:val="0"/>
              <w:keepLines w:val="0"/>
              <w:pageBreakBefore w:val="0"/>
              <w:numPr>
                <w:ilvl w:val="0"/>
                <w:numId w:val="6"/>
              </w:numPr>
              <w:kinsoku/>
              <w:wordWrap/>
              <w:overflowPunct/>
              <w:topLinePunct w:val="0"/>
              <w:autoSpaceDE/>
              <w:autoSpaceDN/>
              <w:bidi w:val="0"/>
              <w:adjustRightInd/>
              <w:snapToGrid/>
              <w:spacing w:after="180" w:line="240" w:lineRule="auto"/>
              <w:ind w:left="1260" w:leftChars="0" w:hanging="420" w:firstLineChars="0"/>
              <w:textAlignment w:val="auto"/>
              <w:rPr>
                <w:rFonts w:hint="default" w:ascii="Times New Roman" w:hAnsi="Times New Roman"/>
                <w:sz w:val="20"/>
                <w:szCs w:val="20"/>
                <w:vertAlign w:val="baseline"/>
                <w:lang w:val="en-US" w:eastAsia="zh-CN"/>
              </w:rPr>
            </w:pPr>
            <w:r>
              <w:rPr>
                <w:rFonts w:hint="default" w:ascii="Times New Roman" w:hAnsi="Times New Roman"/>
                <w:sz w:val="20"/>
                <w:szCs w:val="20"/>
                <w:vertAlign w:val="baseline"/>
                <w:lang w:val="en-US" w:eastAsia="zh-CN"/>
              </w:rPr>
              <w:t>Study suitable scenarios and conditions and, if feasible, introduce methods to reduce FR2-1 L3 measurement delay by optimizing:</w:t>
            </w:r>
          </w:p>
          <w:p w14:paraId="23386619">
            <w:pPr>
              <w:keepNext w:val="0"/>
              <w:keepLines w:val="0"/>
              <w:pageBreakBefore w:val="0"/>
              <w:numPr>
                <w:ilvl w:val="0"/>
                <w:numId w:val="7"/>
              </w:numPr>
              <w:kinsoku/>
              <w:wordWrap/>
              <w:overflowPunct/>
              <w:topLinePunct w:val="0"/>
              <w:autoSpaceDE/>
              <w:autoSpaceDN/>
              <w:bidi w:val="0"/>
              <w:adjustRightInd/>
              <w:snapToGrid/>
              <w:spacing w:after="180" w:line="240" w:lineRule="auto"/>
              <w:ind w:left="1680" w:leftChars="0" w:hanging="420" w:firstLineChars="0"/>
              <w:textAlignment w:val="auto"/>
              <w:rPr>
                <w:rFonts w:hint="default" w:ascii="Times New Roman" w:hAnsi="Times New Roman"/>
                <w:sz w:val="20"/>
                <w:szCs w:val="20"/>
                <w:vertAlign w:val="baseline"/>
                <w:lang w:val="en-US" w:eastAsia="zh-CN"/>
              </w:rPr>
            </w:pPr>
            <w:r>
              <w:rPr>
                <w:rFonts w:hint="default" w:ascii="Times New Roman" w:hAnsi="Times New Roman"/>
                <w:sz w:val="20"/>
                <w:szCs w:val="20"/>
                <w:vertAlign w:val="baseline"/>
                <w:lang w:val="en-US" w:eastAsia="zh-CN"/>
              </w:rPr>
              <w:t xml:space="preserve">Rx beam sweeping factor </w:t>
            </w:r>
          </w:p>
          <w:p w14:paraId="2EC9CF81">
            <w:pPr>
              <w:keepNext w:val="0"/>
              <w:keepLines w:val="0"/>
              <w:pageBreakBefore w:val="0"/>
              <w:numPr>
                <w:ilvl w:val="0"/>
                <w:numId w:val="5"/>
              </w:numPr>
              <w:kinsoku/>
              <w:wordWrap/>
              <w:overflowPunct/>
              <w:topLinePunct w:val="0"/>
              <w:autoSpaceDE/>
              <w:autoSpaceDN/>
              <w:bidi w:val="0"/>
              <w:adjustRightInd/>
              <w:snapToGrid/>
              <w:spacing w:after="180" w:line="240" w:lineRule="auto"/>
              <w:ind w:left="840" w:leftChars="0" w:hanging="420" w:firstLineChars="0"/>
              <w:textAlignment w:val="auto"/>
              <w:rPr>
                <w:rFonts w:hint="default" w:ascii="Times New Roman" w:hAnsi="Times New Roman"/>
                <w:sz w:val="20"/>
                <w:szCs w:val="20"/>
                <w:vertAlign w:val="baseline"/>
                <w:lang w:val="en-US" w:eastAsia="zh-CN"/>
              </w:rPr>
            </w:pPr>
            <w:r>
              <w:rPr>
                <w:rFonts w:hint="default" w:ascii="Times New Roman" w:hAnsi="Times New Roman"/>
                <w:sz w:val="20"/>
                <w:szCs w:val="20"/>
                <w:vertAlign w:val="baseline"/>
                <w:lang w:val="en-US" w:eastAsia="zh-CN"/>
              </w:rPr>
              <w:t>For UE not in multiple-Rx simultaneous reception mode:</w:t>
            </w:r>
          </w:p>
          <w:p w14:paraId="71B5EFE9">
            <w:pPr>
              <w:keepNext w:val="0"/>
              <w:keepLines w:val="0"/>
              <w:pageBreakBefore w:val="0"/>
              <w:numPr>
                <w:ilvl w:val="0"/>
                <w:numId w:val="6"/>
              </w:numPr>
              <w:kinsoku/>
              <w:wordWrap/>
              <w:overflowPunct/>
              <w:topLinePunct w:val="0"/>
              <w:autoSpaceDE/>
              <w:autoSpaceDN/>
              <w:bidi w:val="0"/>
              <w:adjustRightInd/>
              <w:snapToGrid/>
              <w:spacing w:after="180" w:line="240" w:lineRule="auto"/>
              <w:ind w:left="1260" w:leftChars="0" w:hanging="420" w:firstLineChars="0"/>
              <w:textAlignment w:val="auto"/>
              <w:rPr>
                <w:rFonts w:hint="default" w:ascii="Times New Roman" w:hAnsi="Times New Roman" w:eastAsia="宋体" w:cs="Times New Roman"/>
                <w:sz w:val="20"/>
                <w:szCs w:val="20"/>
                <w:vertAlign w:val="baseline"/>
                <w:lang w:val="en-US" w:eastAsia="zh-CN"/>
              </w:rPr>
            </w:pPr>
            <w:r>
              <w:rPr>
                <w:rFonts w:hint="default" w:ascii="Times New Roman" w:hAnsi="Times New Roman" w:eastAsia="宋体" w:cs="Times New Roman"/>
                <w:sz w:val="20"/>
                <w:szCs w:val="20"/>
                <w:vertAlign w:val="baseline"/>
                <w:lang w:val="en-US" w:eastAsia="zh-CN"/>
              </w:rPr>
              <w:t>Study suitable scenarios and conditions and, if feasible, introduce methods to reduce FR2-1 L3 measurement delay by optimizing:</w:t>
            </w:r>
          </w:p>
          <w:p w14:paraId="37632BC6">
            <w:pPr>
              <w:keepNext w:val="0"/>
              <w:keepLines w:val="0"/>
              <w:pageBreakBefore w:val="0"/>
              <w:numPr>
                <w:ilvl w:val="0"/>
                <w:numId w:val="7"/>
              </w:numPr>
              <w:kinsoku/>
              <w:wordWrap/>
              <w:overflowPunct/>
              <w:topLinePunct w:val="0"/>
              <w:autoSpaceDE/>
              <w:autoSpaceDN/>
              <w:bidi w:val="0"/>
              <w:adjustRightInd/>
              <w:snapToGrid/>
              <w:spacing w:after="180" w:line="240" w:lineRule="auto"/>
              <w:ind w:left="1680" w:leftChars="0" w:hanging="420" w:firstLineChars="0"/>
              <w:textAlignment w:val="auto"/>
              <w:rPr>
                <w:rFonts w:hint="default" w:ascii="Times New Roman" w:hAnsi="Times New Roman" w:eastAsia="宋体" w:cs="Times New Roman"/>
                <w:sz w:val="20"/>
                <w:szCs w:val="20"/>
                <w:vertAlign w:val="baseline"/>
                <w:lang w:val="en-US" w:eastAsia="zh-CN"/>
              </w:rPr>
            </w:pPr>
            <w:r>
              <w:rPr>
                <w:rFonts w:hint="default" w:ascii="Times New Roman" w:hAnsi="Times New Roman" w:eastAsia="宋体" w:cs="Times New Roman"/>
                <w:sz w:val="20"/>
                <w:szCs w:val="20"/>
                <w:vertAlign w:val="baseline"/>
                <w:lang w:val="en-US" w:eastAsia="zh-CN"/>
              </w:rPr>
              <w:t xml:space="preserve">CSSF outside gap in CA/DC scenarios </w:t>
            </w:r>
          </w:p>
          <w:p w14:paraId="0F7CF37F">
            <w:pPr>
              <w:keepNext w:val="0"/>
              <w:keepLines w:val="0"/>
              <w:pageBreakBefore w:val="0"/>
              <w:numPr>
                <w:ilvl w:val="0"/>
                <w:numId w:val="8"/>
              </w:numPr>
              <w:kinsoku/>
              <w:wordWrap/>
              <w:overflowPunct/>
              <w:topLinePunct w:val="0"/>
              <w:autoSpaceDE/>
              <w:autoSpaceDN/>
              <w:bidi w:val="0"/>
              <w:adjustRightInd/>
              <w:snapToGrid/>
              <w:spacing w:after="180" w:line="240" w:lineRule="auto"/>
              <w:ind w:left="2100" w:leftChars="0" w:hanging="420" w:firstLineChars="0"/>
              <w:textAlignment w:val="auto"/>
              <w:rPr>
                <w:rFonts w:hint="default" w:ascii="Times New Roman" w:hAnsi="Times New Roman"/>
                <w:sz w:val="20"/>
                <w:szCs w:val="20"/>
                <w:vertAlign w:val="baseline"/>
                <w:lang w:val="en-US" w:eastAsia="zh-CN"/>
              </w:rPr>
            </w:pPr>
            <w:r>
              <w:rPr>
                <w:rFonts w:hint="default" w:ascii="Times New Roman" w:hAnsi="Times New Roman" w:eastAsia="宋体" w:cs="Times New Roman"/>
                <w:sz w:val="20"/>
                <w:szCs w:val="20"/>
                <w:vertAlign w:val="baseline"/>
                <w:lang w:val="en-US" w:eastAsia="zh-CN"/>
              </w:rPr>
              <w:t>Baseline assumption on number of searchers is 2</w:t>
            </w:r>
          </w:p>
        </w:tc>
      </w:tr>
    </w:tbl>
    <w:p w14:paraId="0102336E">
      <w:pPr>
        <w:keepNext w:val="0"/>
        <w:keepLines w:val="0"/>
        <w:pageBreakBefore w:val="0"/>
        <w:kinsoku/>
        <w:wordWrap/>
        <w:overflowPunct/>
        <w:topLinePunct w:val="0"/>
        <w:autoSpaceDE/>
        <w:autoSpaceDN/>
        <w:bidi w:val="0"/>
        <w:adjustRightInd/>
        <w:snapToGrid/>
        <w:spacing w:after="180" w:line="240" w:lineRule="auto"/>
        <w:textAlignment w:val="auto"/>
        <w:rPr>
          <w:rFonts w:hint="default" w:ascii="Times New Roman" w:hAnsi="Times New Roman"/>
          <w:sz w:val="20"/>
          <w:szCs w:val="20"/>
          <w:lang w:val="en-US" w:eastAsia="zh-CN"/>
        </w:rPr>
      </w:pPr>
    </w:p>
    <w:p w14:paraId="5DFDD506">
      <w:pPr>
        <w:keepNext w:val="0"/>
        <w:keepLines w:val="0"/>
        <w:pageBreakBefore w:val="0"/>
        <w:kinsoku/>
        <w:wordWrap/>
        <w:overflowPunct/>
        <w:topLinePunct w:val="0"/>
        <w:autoSpaceDE/>
        <w:autoSpaceDN/>
        <w:bidi w:val="0"/>
        <w:adjustRightInd/>
        <w:snapToGrid/>
        <w:spacing w:before="180" w:after="180" w:line="240" w:lineRule="auto"/>
        <w:textAlignment w:val="auto"/>
        <w:rPr>
          <w:rFonts w:hint="eastAsia" w:ascii="Times New Roman" w:hAnsi="Times New Roman"/>
          <w:sz w:val="20"/>
          <w:szCs w:val="20"/>
        </w:rPr>
      </w:pPr>
      <w:r>
        <w:rPr>
          <w:rFonts w:hint="eastAsia" w:ascii="Times New Roman" w:hAnsi="Times New Roman"/>
          <w:sz w:val="20"/>
          <w:szCs w:val="20"/>
          <w:lang w:val="en-US" w:eastAsia="zh-CN"/>
        </w:rPr>
        <w:t>There is discussion on FR2-1 SSB based L3 measurement delay reduction for connected mode in last meeting, and a WF was approved [2]. T</w:t>
      </w:r>
      <w:r>
        <w:rPr>
          <w:rFonts w:hint="eastAsia" w:ascii="Times New Roman" w:hAnsi="Times New Roman"/>
          <w:sz w:val="20"/>
          <w:szCs w:val="20"/>
        </w:rPr>
        <w:t>his contribution provides</w:t>
      </w:r>
      <w:r>
        <w:rPr>
          <w:rFonts w:hint="eastAsia" w:ascii="Times New Roman" w:hAnsi="Times New Roman"/>
          <w:sz w:val="20"/>
          <w:szCs w:val="20"/>
          <w:lang w:val="en-US" w:eastAsia="zh-CN"/>
        </w:rPr>
        <w:t xml:space="preserve"> </w:t>
      </w:r>
      <w:r>
        <w:rPr>
          <w:rFonts w:hint="eastAsia" w:ascii="Times New Roman" w:hAnsi="Times New Roman"/>
          <w:sz w:val="20"/>
          <w:szCs w:val="20"/>
        </w:rPr>
        <w:t xml:space="preserve">discussion </w:t>
      </w:r>
      <w:r>
        <w:rPr>
          <w:rFonts w:hint="eastAsia" w:ascii="Times New Roman" w:hAnsi="Times New Roman"/>
          <w:sz w:val="20"/>
          <w:szCs w:val="20"/>
          <w:lang w:val="en-US" w:eastAsia="zh-CN"/>
        </w:rPr>
        <w:t>on L3 measurement delay reduction by optimizing CSSF outside gap in CA/DC</w:t>
      </w:r>
      <w:r>
        <w:rPr>
          <w:rFonts w:hint="eastAsia" w:ascii="Times New Roman" w:hAnsi="Times New Roman"/>
          <w:bCs/>
          <w:iCs/>
          <w:sz w:val="20"/>
          <w:szCs w:val="20"/>
        </w:rPr>
        <w:t>.</w:t>
      </w:r>
    </w:p>
    <w:p w14:paraId="33D32EDB">
      <w:pPr>
        <w:pStyle w:val="2"/>
        <w:widowControl/>
        <w:numPr>
          <w:ilvl w:val="0"/>
          <w:numId w:val="3"/>
        </w:numPr>
        <w:pBdr>
          <w:top w:val="single" w:color="auto" w:sz="12" w:space="3"/>
        </w:pBdr>
        <w:tabs>
          <w:tab w:val="clear" w:pos="432"/>
        </w:tabs>
        <w:spacing w:before="120" w:after="60" w:line="240" w:lineRule="auto"/>
        <w:jc w:val="left"/>
        <w:rPr>
          <w:rFonts w:hint="eastAsia" w:ascii="Times New Roman" w:hAnsi="Times New Roman"/>
          <w:b w:val="0"/>
          <w:bCs w:val="0"/>
          <w:kern w:val="0"/>
          <w:sz w:val="36"/>
          <w:szCs w:val="36"/>
          <w:lang w:eastAsia="zh-CN"/>
        </w:rPr>
      </w:pPr>
      <w:r>
        <w:rPr>
          <w:rFonts w:ascii="Times New Roman" w:hAnsi="Times New Roman"/>
          <w:b w:val="0"/>
          <w:bCs w:val="0"/>
          <w:kern w:val="0"/>
          <w:sz w:val="36"/>
          <w:szCs w:val="36"/>
        </w:rPr>
        <w:t xml:space="preserve">Discussion </w:t>
      </w:r>
      <w:bookmarkStart w:id="6" w:name="OLE_LINK1"/>
      <w:bookmarkStart w:id="7" w:name="OLE_LINK2"/>
      <w:r>
        <w:rPr>
          <w:rFonts w:ascii="Times New Roman" w:hAnsi="Times New Roman"/>
          <w:i/>
          <w:sz w:val="20"/>
          <w:szCs w:val="20"/>
        </w:rPr>
        <w:t xml:space="preserve"> </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06DB5A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331" w:type="dxa"/>
          </w:tcPr>
          <w:p w14:paraId="51DFB58A">
            <w:pPr>
              <w:rPr>
                <w:rFonts w:hint="default" w:ascii="Times New Roman" w:hAnsi="Times New Roman" w:cs="Times New Roman"/>
                <w:b/>
                <w:color w:val="0070C0"/>
                <w:sz w:val="20"/>
                <w:szCs w:val="20"/>
                <w:u w:val="single"/>
                <w:lang w:eastAsia="ko-KR"/>
              </w:rPr>
            </w:pPr>
            <w:r>
              <w:rPr>
                <w:rFonts w:hint="default" w:ascii="Times New Roman" w:hAnsi="Times New Roman" w:cs="Times New Roman"/>
                <w:b/>
                <w:color w:val="0070C0"/>
                <w:sz w:val="20"/>
                <w:szCs w:val="20"/>
                <w:u w:val="single"/>
                <w:lang w:eastAsia="ko-KR"/>
              </w:rPr>
              <w:t>Issue 1-</w:t>
            </w:r>
            <w:r>
              <w:rPr>
                <w:rFonts w:hint="default" w:ascii="Times New Roman" w:hAnsi="Times New Roman" w:cs="Times New Roman"/>
                <w:b/>
                <w:color w:val="0070C0"/>
                <w:sz w:val="20"/>
                <w:szCs w:val="20"/>
                <w:u w:val="single"/>
                <w:lang w:val="en-US" w:eastAsia="zh-CN"/>
              </w:rPr>
              <w:t>1</w:t>
            </w:r>
            <w:r>
              <w:rPr>
                <w:rFonts w:hint="default" w:ascii="Times New Roman" w:hAnsi="Times New Roman" w:cs="Times New Roman"/>
                <w:b/>
                <w:color w:val="0070C0"/>
                <w:sz w:val="20"/>
                <w:szCs w:val="20"/>
                <w:u w:val="single"/>
                <w:lang w:eastAsia="ko-KR"/>
              </w:rPr>
              <w:t>-</w:t>
            </w:r>
            <w:r>
              <w:rPr>
                <w:rFonts w:hint="default" w:ascii="Times New Roman" w:hAnsi="Times New Roman" w:cs="Times New Roman"/>
                <w:b/>
                <w:color w:val="0070C0"/>
                <w:sz w:val="20"/>
                <w:szCs w:val="20"/>
                <w:u w:val="single"/>
                <w:lang w:val="en-US" w:eastAsia="zh-CN"/>
              </w:rPr>
              <w:t>3</w:t>
            </w:r>
            <w:r>
              <w:rPr>
                <w:rFonts w:hint="default" w:ascii="Times New Roman" w:hAnsi="Times New Roman" w:cs="Times New Roman"/>
                <w:b/>
                <w:color w:val="0070C0"/>
                <w:sz w:val="20"/>
                <w:szCs w:val="20"/>
                <w:u w:val="single"/>
                <w:lang w:eastAsia="ko-KR"/>
              </w:rPr>
              <w:t>: Expand solution 1 to FR1 case</w:t>
            </w:r>
          </w:p>
          <w:p w14:paraId="46AC59DF">
            <w:pPr>
              <w:rPr>
                <w:rFonts w:hint="default" w:ascii="Times New Roman" w:hAnsi="Times New Roman" w:cs="Times New Roman"/>
                <w:b/>
                <w:color w:val="0070C0"/>
                <w:sz w:val="20"/>
                <w:szCs w:val="20"/>
                <w:u w:val="single"/>
                <w:lang w:eastAsia="ko-KR"/>
              </w:rPr>
            </w:pPr>
          </w:p>
          <w:p w14:paraId="11C33EAB">
            <w:pPr>
              <w:pStyle w:val="12"/>
              <w:numPr>
                <w:ilvl w:val="0"/>
                <w:numId w:val="9"/>
              </w:numPr>
              <w:overflowPunct/>
              <w:autoSpaceDE/>
              <w:autoSpaceDN/>
              <w:adjustRightInd/>
              <w:spacing w:after="120"/>
              <w:ind w:firstLineChars="0"/>
              <w:textAlignment w:val="auto"/>
              <w:rPr>
                <w:rFonts w:hint="default" w:ascii="Times New Roman" w:hAnsi="Times New Roman" w:eastAsia="宋体" w:cs="Times New Roman"/>
                <w:sz w:val="20"/>
                <w:szCs w:val="20"/>
              </w:rPr>
            </w:pPr>
            <w:r>
              <w:rPr>
                <w:rFonts w:hint="default" w:ascii="Times New Roman" w:hAnsi="Times New Roman" w:eastAsia="宋体" w:cs="Times New Roman"/>
                <w:sz w:val="20"/>
                <w:szCs w:val="20"/>
              </w:rPr>
              <w:t xml:space="preserve">Option 1 (vivo, Apple, Nokia, CTC, Ericsson(only limit to serving cell measurement), CMCC, ZTE, MTK): Expand the solution 1 to </w:t>
            </w:r>
            <w:r>
              <w:rPr>
                <w:rFonts w:hint="default" w:ascii="Times New Roman" w:hAnsi="Times New Roman" w:eastAsia="宋体" w:cs="Times New Roman"/>
                <w:bCs/>
                <w:sz w:val="20"/>
                <w:szCs w:val="20"/>
              </w:rPr>
              <w:t>FR1 intra-band contiguous CA, i.e., measure one serving CC per FR1 band if all to-be-measured serving CCs in this FR1 band are contiguous.</w:t>
            </w:r>
          </w:p>
          <w:p w14:paraId="033CA4F6">
            <w:pPr>
              <w:pStyle w:val="12"/>
              <w:numPr>
                <w:ilvl w:val="1"/>
                <w:numId w:val="9"/>
              </w:numPr>
              <w:spacing w:after="120"/>
              <w:ind w:firstLineChars="0"/>
              <w:rPr>
                <w:rFonts w:hint="default" w:ascii="Times New Roman" w:hAnsi="Times New Roman" w:eastAsia="宋体" w:cs="Times New Roman"/>
                <w:sz w:val="20"/>
                <w:szCs w:val="20"/>
              </w:rPr>
            </w:pPr>
            <w:r>
              <w:rPr>
                <w:rFonts w:hint="default" w:ascii="Times New Roman" w:hAnsi="Times New Roman" w:eastAsia="宋体" w:cs="Times New Roman"/>
                <w:sz w:val="20"/>
                <w:szCs w:val="20"/>
              </w:rPr>
              <w:t xml:space="preserve">(Nokia) Network indicates to enable or disable this CSSF enhancement i.e. measuring one serving CC per band for FR1 and FR2 separately. </w:t>
            </w:r>
          </w:p>
          <w:p w14:paraId="27E22223">
            <w:pPr>
              <w:pStyle w:val="12"/>
              <w:numPr>
                <w:ilvl w:val="1"/>
                <w:numId w:val="9"/>
              </w:numPr>
              <w:spacing w:after="120"/>
              <w:ind w:firstLineChars="0"/>
              <w:rPr>
                <w:rFonts w:hint="default" w:ascii="Times New Roman" w:hAnsi="Times New Roman" w:eastAsia="宋体" w:cs="Times New Roman"/>
                <w:sz w:val="20"/>
                <w:szCs w:val="20"/>
              </w:rPr>
            </w:pPr>
            <w:r>
              <w:rPr>
                <w:rFonts w:hint="default" w:ascii="Times New Roman" w:hAnsi="Times New Roman" w:eastAsia="宋体" w:cs="Times New Roman"/>
                <w:sz w:val="20"/>
                <w:szCs w:val="20"/>
              </w:rPr>
              <w:t>(Ericsson):</w:t>
            </w:r>
            <w:r>
              <w:rPr>
                <w:rFonts w:hint="default" w:ascii="Times New Roman" w:hAnsi="Times New Roman" w:cs="Times New Roman"/>
                <w:sz w:val="20"/>
                <w:szCs w:val="20"/>
              </w:rPr>
              <w:t xml:space="preserve"> </w:t>
            </w:r>
            <w:r>
              <w:rPr>
                <w:rFonts w:hint="default" w:ascii="Times New Roman" w:hAnsi="Times New Roman" w:eastAsia="宋体" w:cs="Times New Roman"/>
                <w:sz w:val="20"/>
                <w:szCs w:val="20"/>
              </w:rPr>
              <w:t>limit the applicability to the serving cell measurements</w:t>
            </w:r>
          </w:p>
          <w:p w14:paraId="5D97C3CA">
            <w:pPr>
              <w:pStyle w:val="12"/>
              <w:numPr>
                <w:ilvl w:val="1"/>
                <w:numId w:val="9"/>
              </w:numPr>
              <w:overflowPunct/>
              <w:autoSpaceDE/>
              <w:autoSpaceDN/>
              <w:adjustRightInd/>
              <w:spacing w:after="120"/>
              <w:ind w:firstLineChars="0"/>
              <w:textAlignment w:val="auto"/>
              <w:rPr>
                <w:rFonts w:hint="default" w:ascii="Times New Roman" w:hAnsi="Times New Roman" w:eastAsia="宋体" w:cs="Times New Roman"/>
                <w:sz w:val="20"/>
                <w:szCs w:val="20"/>
              </w:rPr>
            </w:pPr>
            <w:r>
              <w:rPr>
                <w:rFonts w:hint="default" w:ascii="Times New Roman" w:hAnsi="Times New Roman" w:eastAsia="宋体" w:cs="Times New Roman"/>
                <w:sz w:val="20"/>
                <w:szCs w:val="20"/>
              </w:rPr>
              <w:t>(Nokia) RAN4 to discuss how to handle the neighbor cell measurement when network indicates to enable solution 1 for FR1 bands.</w:t>
            </w:r>
          </w:p>
          <w:p w14:paraId="37940701">
            <w:pPr>
              <w:pStyle w:val="12"/>
              <w:numPr>
                <w:ilvl w:val="0"/>
                <w:numId w:val="9"/>
              </w:numPr>
              <w:overflowPunct/>
              <w:autoSpaceDE/>
              <w:autoSpaceDN/>
              <w:adjustRightInd/>
              <w:spacing w:after="120"/>
              <w:ind w:firstLineChars="0"/>
              <w:textAlignment w:val="auto"/>
              <w:rPr>
                <w:rFonts w:hint="default" w:ascii="Times New Roman" w:hAnsi="Times New Roman" w:eastAsia="宋体" w:cs="Times New Roman"/>
                <w:sz w:val="20"/>
                <w:szCs w:val="20"/>
              </w:rPr>
            </w:pPr>
            <w:r>
              <w:rPr>
                <w:rFonts w:hint="default" w:ascii="Times New Roman" w:hAnsi="Times New Roman" w:eastAsia="宋体" w:cs="Times New Roman"/>
                <w:sz w:val="20"/>
                <w:szCs w:val="20"/>
              </w:rPr>
              <w:t>Option 2 (OPPO, CATT, HW, MTK):</w:t>
            </w:r>
            <w:r>
              <w:rPr>
                <w:rFonts w:hint="default" w:ascii="Times New Roman" w:hAnsi="Times New Roman" w:cs="Times New Roman"/>
                <w:sz w:val="20"/>
                <w:szCs w:val="20"/>
              </w:rPr>
              <w:t xml:space="preserve"> </w:t>
            </w:r>
            <w:r>
              <w:rPr>
                <w:rFonts w:hint="default" w:ascii="Times New Roman" w:hAnsi="Times New Roman" w:eastAsia="宋体" w:cs="Times New Roman"/>
                <w:sz w:val="20"/>
                <w:szCs w:val="20"/>
              </w:rPr>
              <w:t>Not to expand solution 1 to FR1 band</w:t>
            </w:r>
          </w:p>
          <w:p w14:paraId="7976B012">
            <w:pPr>
              <w:pStyle w:val="12"/>
              <w:numPr>
                <w:ilvl w:val="0"/>
                <w:numId w:val="0"/>
              </w:numPr>
              <w:overflowPunct/>
              <w:autoSpaceDE/>
              <w:autoSpaceDN/>
              <w:adjustRightInd/>
              <w:spacing w:after="120"/>
              <w:textAlignment w:val="auto"/>
              <w:rPr>
                <w:rFonts w:hint="default" w:ascii="Times New Roman" w:hAnsi="Times New Roman" w:cs="Times New Roman"/>
                <w:sz w:val="20"/>
                <w:szCs w:val="20"/>
                <w:vertAlign w:val="baseline"/>
                <w:lang w:val="en-US" w:eastAsia="zh-CN"/>
              </w:rPr>
            </w:pPr>
          </w:p>
        </w:tc>
      </w:tr>
    </w:tbl>
    <w:p w14:paraId="6EFFA9B0">
      <w:pPr>
        <w:keepNext w:val="0"/>
        <w:keepLines w:val="0"/>
        <w:pageBreakBefore w:val="0"/>
        <w:kinsoku/>
        <w:wordWrap/>
        <w:overflowPunct/>
        <w:topLinePunct w:val="0"/>
        <w:autoSpaceDE/>
        <w:autoSpaceDN/>
        <w:bidi w:val="0"/>
        <w:adjustRightInd/>
        <w:snapToGrid/>
        <w:spacing w:before="180" w:after="180" w:line="240" w:lineRule="auto"/>
        <w:textAlignment w:val="auto"/>
        <w:rPr>
          <w:rFonts w:hint="default" w:ascii="Times New Roman" w:hAnsi="Times New Roman"/>
          <w:sz w:val="20"/>
          <w:szCs w:val="20"/>
          <w:lang w:val="en-US" w:eastAsia="zh-CN"/>
        </w:rPr>
      </w:pPr>
      <w:r>
        <w:rPr>
          <w:rFonts w:hint="eastAsia" w:ascii="Times New Roman" w:hAnsi="Times New Roman"/>
          <w:sz w:val="20"/>
          <w:szCs w:val="20"/>
          <w:lang w:val="en-US" w:eastAsia="zh-CN"/>
        </w:rPr>
        <w:t>Solution 1 is to measure one serving CC per band. I</w:t>
      </w:r>
      <w:r>
        <w:rPr>
          <w:rFonts w:hint="eastAsia" w:ascii="Times New Roman" w:hAnsi="Times New Roman" w:cs="Times New Roman"/>
          <w:sz w:val="20"/>
          <w:szCs w:val="20"/>
          <w:lang w:val="en-US" w:eastAsia="zh-CN"/>
        </w:rPr>
        <w:t xml:space="preserve">n legacy, for FR2, UE shall also be capable of performing SS-RSRP, SS-RSRQ, and SS-SINR measurements for at least 2 SSBs on serving cell for each of the other intra-frequency layer(s) in the same band. With solution 1, UE only need to measure one serving CC per band. </w:t>
      </w:r>
    </w:p>
    <w:p w14:paraId="31EFFBDE">
      <w:pPr>
        <w:keepNext w:val="0"/>
        <w:keepLines w:val="0"/>
        <w:pageBreakBefore w:val="0"/>
        <w:kinsoku/>
        <w:wordWrap/>
        <w:overflowPunct/>
        <w:topLinePunct w:val="0"/>
        <w:autoSpaceDE/>
        <w:autoSpaceDN/>
        <w:bidi w:val="0"/>
        <w:adjustRightInd/>
        <w:snapToGrid/>
        <w:spacing w:before="180" w:after="180" w:line="240" w:lineRule="auto"/>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Solution1 for FR2 is under the consideration that FR2 is noise-limited system rather than interference-limited system, while the situation is different for FR1. In FR1, RSRQ might be different among different serving carriers due to different interference level. In general, it is not preferred to extend solution 1 to FR1. However, as mentioned by companies that it can be considered for certain scenario, e.g. intra-band contiguous CA. Also, whether to enable solution 1 is under network control. With above consideration, we are also fine to extend solution 1 to FR1 intra-band contiguous CA.</w:t>
      </w:r>
    </w:p>
    <w:p w14:paraId="56A64BA6">
      <w:pPr>
        <w:keepNext w:val="0"/>
        <w:keepLines w:val="0"/>
        <w:pageBreakBefore w:val="0"/>
        <w:kinsoku/>
        <w:wordWrap/>
        <w:overflowPunct/>
        <w:topLinePunct w:val="0"/>
        <w:autoSpaceDE/>
        <w:autoSpaceDN/>
        <w:bidi w:val="0"/>
        <w:adjustRightInd/>
        <w:snapToGrid/>
        <w:spacing w:before="180" w:after="180" w:line="240" w:lineRule="auto"/>
        <w:textAlignment w:val="auto"/>
        <w:rPr>
          <w:rFonts w:hint="eastAsia" w:ascii="Times New Roman" w:hAnsi="Times New Roman"/>
          <w:b/>
          <w:bCs/>
          <w:i/>
          <w:iCs/>
          <w:sz w:val="20"/>
          <w:szCs w:val="20"/>
          <w:lang w:val="en-US" w:eastAsia="zh-CN"/>
        </w:rPr>
      </w:pPr>
      <w:r>
        <w:rPr>
          <w:rFonts w:hint="eastAsia" w:ascii="Times New Roman" w:hAnsi="Times New Roman"/>
          <w:b/>
          <w:bCs/>
          <w:i/>
          <w:iCs/>
          <w:sz w:val="20"/>
          <w:szCs w:val="20"/>
          <w:lang w:val="en-US" w:eastAsia="zh-CN"/>
        </w:rPr>
        <w:t xml:space="preserve">Proposal 1: if it is agreed to extend solution 1 to FR1, it is proposed to extend solution 1 only to FR1 intra-band contiguous CA. </w:t>
      </w:r>
    </w:p>
    <w:p w14:paraId="39319BD5">
      <w:pPr>
        <w:keepNext w:val="0"/>
        <w:keepLines w:val="0"/>
        <w:pageBreakBefore w:val="0"/>
        <w:kinsoku/>
        <w:wordWrap/>
        <w:overflowPunct/>
        <w:topLinePunct w:val="0"/>
        <w:autoSpaceDE/>
        <w:autoSpaceDN/>
        <w:bidi w:val="0"/>
        <w:adjustRightInd/>
        <w:snapToGrid/>
        <w:spacing w:before="180" w:after="180" w:line="240" w:lineRule="auto"/>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In last meeting, RAN2 sent LS to RAN4 about CSSF optimization, the content of LS are duplicated as following:</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71B4B9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15AD6860">
            <w:pPr>
              <w:keepNext w:val="0"/>
              <w:keepLines w:val="0"/>
              <w:pageBreakBefore w:val="0"/>
              <w:kinsoku/>
              <w:wordWrap/>
              <w:overflowPunct/>
              <w:topLinePunct w:val="0"/>
              <w:autoSpaceDE/>
              <w:autoSpaceDN/>
              <w:bidi w:val="0"/>
              <w:adjustRightInd/>
              <w:snapToGrid/>
              <w:spacing w:before="180" w:after="180" w:line="240" w:lineRule="auto"/>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vertAlign w:val="baseline"/>
                <w:lang w:val="en-US" w:eastAsia="zh-CN"/>
              </w:rPr>
              <w:t xml:space="preserve">RAN2 LS on </w:t>
            </w:r>
            <w:r>
              <w:rPr>
                <w:rFonts w:hint="default" w:ascii="Times New Roman" w:hAnsi="Times New Roman" w:cs="Times New Roman"/>
                <w:sz w:val="20"/>
                <w:szCs w:val="20"/>
                <w:lang w:val="en-US" w:eastAsia="zh-CN"/>
              </w:rPr>
              <w:t>CSSF optimization (R4-2509014/R2-2504728)</w:t>
            </w:r>
          </w:p>
          <w:p w14:paraId="5581A2A9">
            <w:pPr>
              <w:bidi w:val="0"/>
              <w:rPr>
                <w:rFonts w:hint="default" w:ascii="Times New Roman" w:hAnsi="Times New Roman" w:cs="Times New Roman"/>
                <w:b/>
                <w:bCs/>
                <w:sz w:val="20"/>
                <w:szCs w:val="20"/>
                <w:lang w:val="en-US"/>
              </w:rPr>
            </w:pPr>
            <w:r>
              <w:rPr>
                <w:rFonts w:hint="eastAsia" w:ascii="Times New Roman" w:hAnsi="Times New Roman" w:cs="Times New Roman"/>
                <w:b/>
                <w:bCs/>
                <w:sz w:val="20"/>
                <w:szCs w:val="20"/>
                <w:lang w:val="en-US" w:eastAsia="zh-CN"/>
              </w:rPr>
              <w:t xml:space="preserve">1 </w:t>
            </w:r>
            <w:r>
              <w:rPr>
                <w:rFonts w:hint="default" w:ascii="Times New Roman" w:hAnsi="Times New Roman" w:cs="Times New Roman"/>
                <w:b/>
                <w:bCs/>
                <w:sz w:val="20"/>
                <w:szCs w:val="20"/>
                <w:lang w:val="en-US"/>
              </w:rPr>
              <w:t>Overall description</w:t>
            </w:r>
          </w:p>
          <w:p w14:paraId="7936BE6B">
            <w:pPr>
              <w:pStyle w:val="6"/>
              <w:rPr>
                <w:rFonts w:hint="default" w:ascii="Times New Roman" w:hAnsi="Times New Roman" w:eastAsia="宋体" w:cs="Times New Roman"/>
                <w:sz w:val="20"/>
                <w:szCs w:val="20"/>
              </w:rPr>
            </w:pPr>
            <w:r>
              <w:rPr>
                <w:rFonts w:hint="default" w:ascii="Times New Roman" w:hAnsi="Times New Roman" w:eastAsia="宋体" w:cs="Times New Roman"/>
                <w:sz w:val="20"/>
                <w:szCs w:val="20"/>
              </w:rPr>
              <w:t>RAN2 have discussed the RRC configuration to support the CSSF optimization and reached the following agreements:</w:t>
            </w:r>
          </w:p>
          <w:p w14:paraId="2AE3D850">
            <w:pPr>
              <w:pStyle w:val="19"/>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Introduce the UE specific RRC configuration</w:t>
            </w:r>
            <w:r>
              <w:rPr>
                <w:rFonts w:hint="default" w:ascii="Times New Roman" w:hAnsi="Times New Roman" w:eastAsia="宋体" w:cs="Times New Roman"/>
                <w:sz w:val="20"/>
                <w:szCs w:val="20"/>
                <w:lang w:eastAsia="zh-CN"/>
              </w:rPr>
              <w:t xml:space="preserve"> (per UE)</w:t>
            </w:r>
            <w:r>
              <w:rPr>
                <w:rFonts w:hint="default" w:ascii="Times New Roman" w:hAnsi="Times New Roman" w:cs="Times New Roman"/>
                <w:sz w:val="20"/>
                <w:szCs w:val="20"/>
                <w:lang w:eastAsia="zh-CN"/>
              </w:rPr>
              <w:t xml:space="preserve"> to enable/disable the CSSF optimization feature.</w:t>
            </w:r>
          </w:p>
          <w:p w14:paraId="1D60EFFF">
            <w:pPr>
              <w:pStyle w:val="6"/>
              <w:rPr>
                <w:rFonts w:hint="default" w:ascii="Times New Roman" w:hAnsi="Times New Roman" w:eastAsia="宋体" w:cs="Times New Roman"/>
                <w:sz w:val="20"/>
                <w:szCs w:val="20"/>
                <w:lang w:val="en-GB"/>
              </w:rPr>
            </w:pPr>
          </w:p>
          <w:p w14:paraId="301E8F7E">
            <w:pPr>
              <w:pStyle w:val="6"/>
              <w:rPr>
                <w:rFonts w:hint="default" w:ascii="Times New Roman" w:hAnsi="Times New Roman" w:eastAsia="宋体" w:cs="Times New Roman"/>
                <w:sz w:val="20"/>
                <w:szCs w:val="20"/>
              </w:rPr>
            </w:pPr>
            <w:r>
              <w:rPr>
                <w:rFonts w:hint="default" w:ascii="Times New Roman" w:hAnsi="Times New Roman" w:eastAsia="宋体" w:cs="Times New Roman"/>
                <w:sz w:val="20"/>
                <w:szCs w:val="20"/>
              </w:rPr>
              <w:t>About the network indication of a specific SCC per-band for measurement, RAN2 discussed the following two alternatives:</w:t>
            </w:r>
          </w:p>
          <w:p w14:paraId="0C10A640">
            <w:pPr>
              <w:pStyle w:val="6"/>
              <w:numPr>
                <w:ilvl w:val="0"/>
                <w:numId w:val="10"/>
              </w:numPr>
              <w:rPr>
                <w:rFonts w:hint="default" w:ascii="Times New Roman" w:hAnsi="Times New Roman" w:eastAsia="宋体" w:cs="Times New Roman"/>
                <w:sz w:val="20"/>
                <w:szCs w:val="20"/>
              </w:rPr>
            </w:pPr>
            <w:r>
              <w:rPr>
                <w:rFonts w:hint="default" w:ascii="Times New Roman" w:hAnsi="Times New Roman" w:eastAsia="宋体" w:cs="Times New Roman"/>
                <w:sz w:val="20"/>
                <w:szCs w:val="20"/>
              </w:rPr>
              <w:t>Alternative 1: Introduce new RRC configuration to indicate which SCC to be measured.</w:t>
            </w:r>
          </w:p>
          <w:p w14:paraId="531E074B">
            <w:pPr>
              <w:pStyle w:val="6"/>
              <w:numPr>
                <w:ilvl w:val="1"/>
                <w:numId w:val="10"/>
              </w:numPr>
              <w:rPr>
                <w:rFonts w:hint="default" w:ascii="Times New Roman" w:hAnsi="Times New Roman" w:eastAsia="宋体" w:cs="Times New Roman"/>
                <w:sz w:val="20"/>
                <w:szCs w:val="20"/>
              </w:rPr>
            </w:pPr>
            <w:r>
              <w:rPr>
                <w:rFonts w:hint="default" w:ascii="Times New Roman" w:hAnsi="Times New Roman" w:eastAsia="宋体" w:cs="Times New Roman"/>
                <w:sz w:val="20"/>
                <w:szCs w:val="20"/>
              </w:rPr>
              <w:t xml:space="preserve">When CSSF optimization feature is enabled, </w:t>
            </w:r>
            <w:r>
              <w:rPr>
                <w:rFonts w:hint="default" w:ascii="Times New Roman" w:hAnsi="Times New Roman" w:cs="Times New Roman"/>
                <w:color w:val="000000"/>
                <w:sz w:val="20"/>
                <w:szCs w:val="20"/>
              </w:rPr>
              <w:t xml:space="preserve">UE only performs the serving and intra-frequency neighbor measurement on the indicated SCC per band. </w:t>
            </w:r>
          </w:p>
          <w:p w14:paraId="5F3DE918">
            <w:pPr>
              <w:pStyle w:val="6"/>
              <w:numPr>
                <w:ilvl w:val="0"/>
                <w:numId w:val="10"/>
              </w:numPr>
              <w:rPr>
                <w:rFonts w:hint="default" w:ascii="Times New Roman" w:hAnsi="Times New Roman" w:eastAsia="宋体" w:cs="Times New Roman"/>
                <w:sz w:val="20"/>
                <w:szCs w:val="20"/>
              </w:rPr>
            </w:pPr>
            <w:r>
              <w:rPr>
                <w:rFonts w:hint="default" w:ascii="Times New Roman" w:hAnsi="Times New Roman" w:eastAsia="宋体" w:cs="Times New Roman"/>
                <w:sz w:val="20"/>
                <w:szCs w:val="20"/>
              </w:rPr>
              <w:t xml:space="preserve">Alternative 2: No additional RRC signaling is needed.  </w:t>
            </w:r>
          </w:p>
          <w:p w14:paraId="6808E01F">
            <w:pPr>
              <w:pStyle w:val="6"/>
              <w:numPr>
                <w:ilvl w:val="1"/>
                <w:numId w:val="10"/>
              </w:numPr>
              <w:rPr>
                <w:rFonts w:hint="default" w:ascii="Times New Roman" w:hAnsi="Times New Roman" w:eastAsia="宋体" w:cs="Times New Roman"/>
                <w:sz w:val="20"/>
                <w:szCs w:val="20"/>
              </w:rPr>
            </w:pPr>
            <w:r>
              <w:rPr>
                <w:rFonts w:hint="default" w:ascii="Times New Roman" w:hAnsi="Times New Roman" w:eastAsia="宋体" w:cs="Times New Roman"/>
                <w:sz w:val="20"/>
                <w:szCs w:val="20"/>
              </w:rPr>
              <w:t xml:space="preserve">When CSSF optimization feature is enabled, UE </w:t>
            </w:r>
            <w:r>
              <w:rPr>
                <w:rFonts w:hint="default" w:ascii="Times New Roman" w:hAnsi="Times New Roman" w:eastAsia="Times New Roman" w:cs="Times New Roman"/>
                <w:color w:val="000000"/>
                <w:sz w:val="20"/>
                <w:szCs w:val="20"/>
              </w:rPr>
              <w:t>follows the existing RAN4 rule (defined in clause 9.2.3.2 of TS 38.133) below to select the SCC to perform both serving and intra-frequency neighbor measurement.</w:t>
            </w:r>
          </w:p>
          <w:tbl>
            <w:tblPr>
              <w:tblStyle w:val="10"/>
              <w:tblW w:w="0" w:type="auto"/>
              <w:tblInd w:w="144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1F1F1" w:themeFill="background1" w:themeFillShade="F2"/>
              <w:tblLayout w:type="autofit"/>
              <w:tblCellMar>
                <w:top w:w="0" w:type="dxa"/>
                <w:left w:w="108" w:type="dxa"/>
                <w:bottom w:w="0" w:type="dxa"/>
                <w:right w:w="108" w:type="dxa"/>
              </w:tblCellMar>
            </w:tblPr>
            <w:tblGrid>
              <w:gridCol w:w="7665"/>
            </w:tblGrid>
            <w:tr w14:paraId="16B8C6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1F1F1" w:themeFill="background1" w:themeFillShade="F2"/>
              </w:tblPrEx>
              <w:tc>
                <w:tcPr>
                  <w:tcW w:w="9855" w:type="dxa"/>
                  <w:shd w:val="clear" w:color="auto" w:fill="F1F1F1" w:themeFill="background1" w:themeFillShade="F2"/>
                </w:tcPr>
                <w:p w14:paraId="3C65569E">
                  <w:pPr>
                    <w:pStyle w:val="20"/>
                    <w:rPr>
                      <w:rFonts w:hint="default" w:ascii="Times New Roman" w:hAnsi="Times New Roman" w:eastAsia="Times New Roman" w:cs="Times New Roman"/>
                      <w:sz w:val="20"/>
                      <w:szCs w:val="20"/>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rPr>
                    <w:t>One of the SCCs on which UE is configured to report SSB based measurements when neither PCC nor PSCC is in the same band, so that the selected SCC shall be an SCC where the UE is configured with SS-RSRP measurement reporting if such SCC exists, otherwise the selected SCC is determined by UE implementation.</w:t>
                  </w:r>
                </w:p>
              </w:tc>
            </w:tr>
          </w:tbl>
          <w:p w14:paraId="08A7AA32">
            <w:pPr>
              <w:pStyle w:val="6"/>
              <w:rPr>
                <w:rFonts w:hint="default" w:ascii="Times New Roman" w:hAnsi="Times New Roman" w:eastAsia="宋体" w:cs="Times New Roman"/>
                <w:sz w:val="20"/>
                <w:szCs w:val="20"/>
              </w:rPr>
            </w:pPr>
            <w:r>
              <w:rPr>
                <w:rFonts w:hint="default" w:ascii="Times New Roman" w:hAnsi="Times New Roman" w:eastAsia="宋体" w:cs="Times New Roman"/>
                <w:sz w:val="20"/>
                <w:szCs w:val="20"/>
              </w:rPr>
              <w:t xml:space="preserve">Majority’s view in RAN2 is Alternative 2, but RAN2 did not reach a consensus. </w:t>
            </w:r>
          </w:p>
          <w:p w14:paraId="5EAB1482">
            <w:pPr>
              <w:pStyle w:val="6"/>
              <w:rPr>
                <w:rFonts w:hint="default" w:ascii="Times New Roman" w:hAnsi="Times New Roman" w:eastAsia="宋体" w:cs="Times New Roman"/>
                <w:sz w:val="20"/>
                <w:szCs w:val="20"/>
              </w:rPr>
            </w:pPr>
            <w:r>
              <w:rPr>
                <w:rFonts w:hint="default" w:ascii="Times New Roman" w:hAnsi="Times New Roman" w:eastAsia="宋体" w:cs="Times New Roman"/>
                <w:sz w:val="20"/>
                <w:szCs w:val="20"/>
              </w:rPr>
              <w:t>Therefore, RAN2 would like to ask RAN4 to decide which alternative to adopt for SCC indication and provide feedback during August meeting so that RAN2 can prepare the RRC CR for approval in August meeting.</w:t>
            </w:r>
          </w:p>
          <w:p w14:paraId="77986D95">
            <w:pPr>
              <w:bidi w:val="0"/>
              <w:rPr>
                <w:rFonts w:hint="default" w:ascii="Times New Roman" w:hAnsi="Times New Roman" w:cs="Times New Roman"/>
                <w:b/>
                <w:bCs/>
                <w:sz w:val="20"/>
                <w:szCs w:val="20"/>
                <w:lang w:val="en-US"/>
              </w:rPr>
            </w:pPr>
            <w:r>
              <w:rPr>
                <w:rFonts w:hint="eastAsia" w:ascii="Times New Roman" w:hAnsi="Times New Roman" w:cs="Times New Roman"/>
                <w:b/>
                <w:bCs/>
                <w:sz w:val="20"/>
                <w:szCs w:val="20"/>
                <w:lang w:val="en-US" w:eastAsia="zh-CN"/>
              </w:rPr>
              <w:t xml:space="preserve">2 </w:t>
            </w:r>
            <w:r>
              <w:rPr>
                <w:rFonts w:hint="default" w:ascii="Times New Roman" w:hAnsi="Times New Roman" w:cs="Times New Roman"/>
                <w:b/>
                <w:bCs/>
                <w:sz w:val="20"/>
                <w:szCs w:val="20"/>
                <w:lang w:val="en-US"/>
              </w:rPr>
              <w:t>Actions</w:t>
            </w:r>
          </w:p>
          <w:p w14:paraId="2DB0D475">
            <w:pPr>
              <w:spacing w:after="120"/>
              <w:ind w:left="1985" w:hanging="1985"/>
              <w:rPr>
                <w:rFonts w:hint="default" w:ascii="Times New Roman" w:hAnsi="Times New Roman" w:cs="Times New Roman"/>
                <w:b/>
                <w:sz w:val="20"/>
                <w:szCs w:val="20"/>
              </w:rPr>
            </w:pPr>
            <w:r>
              <w:rPr>
                <w:rFonts w:hint="default" w:ascii="Times New Roman" w:hAnsi="Times New Roman" w:cs="Times New Roman"/>
                <w:b/>
                <w:sz w:val="20"/>
                <w:szCs w:val="20"/>
              </w:rPr>
              <w:t>To RAN4:</w:t>
            </w:r>
          </w:p>
          <w:p w14:paraId="2E6093F1">
            <w:pPr>
              <w:spacing w:after="120"/>
              <w:ind w:left="993" w:hanging="993"/>
              <w:rPr>
                <w:rFonts w:hint="default" w:ascii="Times New Roman" w:hAnsi="Times New Roman" w:cs="Times New Roman"/>
                <w:sz w:val="20"/>
                <w:szCs w:val="20"/>
              </w:rPr>
            </w:pPr>
            <w:r>
              <w:rPr>
                <w:rFonts w:hint="default" w:ascii="Times New Roman" w:hAnsi="Times New Roman" w:cs="Times New Roman"/>
                <w:b/>
                <w:sz w:val="20"/>
                <w:szCs w:val="20"/>
              </w:rPr>
              <w:t xml:space="preserve">ACTION: </w:t>
            </w:r>
            <w:r>
              <w:rPr>
                <w:rFonts w:hint="default" w:ascii="Times New Roman" w:hAnsi="Times New Roman" w:cs="Times New Roman"/>
                <w:b/>
                <w:sz w:val="20"/>
                <w:szCs w:val="20"/>
              </w:rPr>
              <w:tab/>
            </w:r>
            <w:r>
              <w:rPr>
                <w:rFonts w:hint="default" w:ascii="Times New Roman" w:hAnsi="Times New Roman" w:cs="Times New Roman"/>
                <w:sz w:val="20"/>
                <w:szCs w:val="20"/>
              </w:rPr>
              <w:t>RAN2 respectfully asks RAN4 to decide which alternative to adopt for SCC indication and provide feedback during August meeting.</w:t>
            </w:r>
          </w:p>
          <w:p w14:paraId="7C116EBB">
            <w:pPr>
              <w:keepNext w:val="0"/>
              <w:keepLines w:val="0"/>
              <w:pageBreakBefore w:val="0"/>
              <w:kinsoku/>
              <w:wordWrap/>
              <w:overflowPunct/>
              <w:topLinePunct w:val="0"/>
              <w:autoSpaceDE/>
              <w:autoSpaceDN/>
              <w:bidi w:val="0"/>
              <w:adjustRightInd/>
              <w:snapToGrid/>
              <w:spacing w:before="180" w:after="180" w:line="240" w:lineRule="auto"/>
              <w:textAlignment w:val="auto"/>
              <w:rPr>
                <w:rFonts w:hint="default" w:ascii="Times New Roman" w:hAnsi="Times New Roman" w:cs="Times New Roman"/>
                <w:sz w:val="20"/>
                <w:szCs w:val="20"/>
                <w:lang w:val="en-US" w:eastAsia="zh-CN"/>
              </w:rPr>
            </w:pPr>
          </w:p>
        </w:tc>
      </w:tr>
    </w:tbl>
    <w:p w14:paraId="4B718120">
      <w:pPr>
        <w:keepNext w:val="0"/>
        <w:keepLines w:val="0"/>
        <w:pageBreakBefore w:val="0"/>
        <w:kinsoku/>
        <w:wordWrap/>
        <w:overflowPunct/>
        <w:topLinePunct w:val="0"/>
        <w:autoSpaceDE/>
        <w:autoSpaceDN/>
        <w:bidi w:val="0"/>
        <w:adjustRightInd/>
        <w:snapToGrid/>
        <w:spacing w:before="180" w:after="180" w:line="240" w:lineRule="auto"/>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 xml:space="preserve">According to RAN2 LS, RAN2 is not sure whether to introduce a new RRC configuration to indicate which SCC to be measured or to reuse legacy rule defined in TS38.133. </w:t>
      </w:r>
    </w:p>
    <w:p w14:paraId="144337A9">
      <w:pPr>
        <w:keepNext w:val="0"/>
        <w:keepLines w:val="0"/>
        <w:pageBreakBefore w:val="0"/>
        <w:kinsoku/>
        <w:wordWrap/>
        <w:overflowPunct/>
        <w:topLinePunct w:val="0"/>
        <w:autoSpaceDE/>
        <w:autoSpaceDN/>
        <w:bidi w:val="0"/>
        <w:adjustRightInd/>
        <w:snapToGrid/>
        <w:spacing w:before="180" w:after="180" w:line="240" w:lineRule="auto"/>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Following is the duplication of previous RAN4 agreements. It can be seen that the condition to have network indication to indicate which SCC to be measured is that neither PCC nor PSCC is in band, and there is no SCCs on which UE is configured to report SSB based measurements in band, or there are multiple SCCs on which UE is configured to report SSB based measurements in band. oOtherwise, UE will perform serving and neighbor cell measurements on one SCC per band, which SCC to measure is up to UE implementation.</w:t>
      </w:r>
    </w:p>
    <w:p w14:paraId="61809DFF">
      <w:pPr>
        <w:keepNext w:val="0"/>
        <w:keepLines w:val="0"/>
        <w:pageBreakBefore w:val="0"/>
        <w:kinsoku/>
        <w:wordWrap/>
        <w:overflowPunct/>
        <w:topLinePunct w:val="0"/>
        <w:autoSpaceDE/>
        <w:autoSpaceDN/>
        <w:bidi w:val="0"/>
        <w:adjustRightInd/>
        <w:snapToGrid/>
        <w:spacing w:before="180" w:after="180" w:line="240" w:lineRule="auto"/>
        <w:textAlignment w:val="auto"/>
        <w:rPr>
          <w:rFonts w:hint="default" w:ascii="Times New Roman" w:hAnsi="Times New Roman"/>
          <w:sz w:val="20"/>
          <w:szCs w:val="20"/>
          <w:lang w:val="en-US" w:eastAsia="zh-CN"/>
        </w:rPr>
      </w:pPr>
      <w:r>
        <w:rPr>
          <w:rFonts w:hint="eastAsia" w:ascii="Times New Roman" w:hAnsi="Times New Roman"/>
          <w:sz w:val="20"/>
          <w:szCs w:val="20"/>
          <w:lang w:val="en-US" w:eastAsia="zh-CN"/>
        </w:rPr>
        <w:t xml:space="preserve">Based on above discussion, it is proposed to follow previous RAN4 agreements and reply RAN2 that alternative 1 is prefered and inform RAN2 the whole procedure. </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24DB9D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331" w:type="dxa"/>
          </w:tcPr>
          <w:p w14:paraId="7BB49189">
            <w:pPr>
              <w:rPr>
                <w:rFonts w:hint="eastAsia" w:ascii="Times New Roman" w:hAnsi="Times New Roman" w:cs="Times New Roman"/>
                <w:b/>
                <w:color w:val="auto"/>
                <w:sz w:val="20"/>
                <w:szCs w:val="20"/>
                <w:u w:val="none"/>
                <w:lang w:val="en-US" w:eastAsia="zh-CN"/>
              </w:rPr>
            </w:pPr>
            <w:r>
              <w:rPr>
                <w:rFonts w:hint="eastAsia" w:ascii="Times New Roman" w:hAnsi="Times New Roman" w:cs="Times New Roman"/>
                <w:b/>
                <w:color w:val="auto"/>
                <w:sz w:val="20"/>
                <w:szCs w:val="20"/>
                <w:u w:val="none"/>
                <w:lang w:val="en-US" w:eastAsia="zh-CN"/>
              </w:rPr>
              <w:t>RAN4 #114bis meeting</w:t>
            </w:r>
          </w:p>
          <w:p w14:paraId="7BDD9756">
            <w:pPr>
              <w:rPr>
                <w:rFonts w:hint="default" w:ascii="Times New Roman" w:hAnsi="Times New Roman" w:cs="Times New Roman"/>
                <w:b/>
                <w:color w:val="auto"/>
                <w:sz w:val="20"/>
                <w:szCs w:val="20"/>
                <w:u w:val="none"/>
                <w:lang w:val="en-US" w:eastAsia="zh-CN"/>
              </w:rPr>
            </w:pPr>
          </w:p>
          <w:p w14:paraId="36C2034A">
            <w:pPr>
              <w:rPr>
                <w:rFonts w:hint="default" w:ascii="Times New Roman" w:hAnsi="Times New Roman" w:cs="Times New Roman"/>
                <w:b/>
                <w:color w:val="0070C0"/>
                <w:sz w:val="20"/>
                <w:szCs w:val="20"/>
                <w:u w:val="single"/>
                <w:lang w:eastAsia="ko-KR"/>
              </w:rPr>
            </w:pPr>
            <w:r>
              <w:rPr>
                <w:rFonts w:hint="default" w:ascii="Times New Roman" w:hAnsi="Times New Roman" w:cs="Times New Roman"/>
                <w:b/>
                <w:color w:val="0070C0"/>
                <w:sz w:val="20"/>
                <w:szCs w:val="20"/>
                <w:u w:val="single"/>
                <w:lang w:eastAsia="ko-KR"/>
              </w:rPr>
              <w:t>Issue 1-3-1: Tentative solution 1: measure one serving CC per band</w:t>
            </w:r>
          </w:p>
          <w:p w14:paraId="3407996C">
            <w:pPr>
              <w:rPr>
                <w:rFonts w:hint="default" w:ascii="Times New Roman" w:hAnsi="Times New Roman" w:cs="Times New Roman"/>
                <w:b/>
                <w:color w:val="0070C0"/>
                <w:sz w:val="20"/>
                <w:szCs w:val="20"/>
                <w:u w:val="single"/>
                <w:lang w:eastAsia="ko-KR"/>
              </w:rPr>
            </w:pPr>
          </w:p>
          <w:p w14:paraId="2BC0D6E4">
            <w:pPr>
              <w:overflowPunct w:val="0"/>
              <w:autoSpaceDE w:val="0"/>
              <w:autoSpaceDN w:val="0"/>
              <w:adjustRightInd w:val="0"/>
              <w:snapToGrid w:val="0"/>
              <w:spacing w:after="120"/>
              <w:rPr>
                <w:rFonts w:hint="default" w:ascii="Times New Roman" w:hAnsi="Times New Roman" w:eastAsia="等线" w:cs="Times New Roman"/>
                <w:iCs/>
                <w:sz w:val="20"/>
                <w:szCs w:val="20"/>
                <w:highlight w:val="green"/>
                <w:lang w:val="en-GB"/>
              </w:rPr>
            </w:pPr>
            <w:r>
              <w:rPr>
                <w:rFonts w:hint="default" w:ascii="Times New Roman" w:hAnsi="Times New Roman" w:eastAsia="等线" w:cs="Times New Roman"/>
                <w:iCs/>
                <w:sz w:val="20"/>
                <w:szCs w:val="20"/>
                <w:highlight w:val="green"/>
                <w:lang w:val="en-GB"/>
              </w:rPr>
              <w:t>Agreement:</w:t>
            </w:r>
          </w:p>
          <w:p w14:paraId="329C8C19">
            <w:pPr>
              <w:numPr>
                <w:ilvl w:val="0"/>
                <w:numId w:val="9"/>
              </w:numPr>
              <w:autoSpaceDN w:val="0"/>
              <w:snapToGrid w:val="0"/>
              <w:spacing w:after="120"/>
              <w:ind w:left="516" w:leftChars="0"/>
              <w:rPr>
                <w:rFonts w:hint="default" w:ascii="Times New Roman" w:hAnsi="Times New Roman" w:eastAsia="宋体" w:cs="Times New Roman"/>
                <w:iCs/>
                <w:sz w:val="20"/>
                <w:szCs w:val="20"/>
              </w:rPr>
            </w:pPr>
            <w:r>
              <w:rPr>
                <w:rFonts w:hint="default" w:ascii="Times New Roman" w:hAnsi="Times New Roman" w:eastAsia="宋体" w:cs="Times New Roman"/>
                <w:iCs/>
                <w:sz w:val="20"/>
                <w:szCs w:val="20"/>
              </w:rPr>
              <w:t xml:space="preserve">If network indicates to enable this CSSF enhancement, UE only needs to measure one serving CC per band if multiple serving CCs are configured for measurement in the same band and UE is allowed to determine the CC in the band to be measured based on followings, </w:t>
            </w:r>
          </w:p>
          <w:p w14:paraId="1546F8C0">
            <w:pPr>
              <w:numPr>
                <w:ilvl w:val="1"/>
                <w:numId w:val="9"/>
              </w:numPr>
              <w:overflowPunct w:val="0"/>
              <w:autoSpaceDE w:val="0"/>
              <w:autoSpaceDN w:val="0"/>
              <w:adjustRightInd w:val="0"/>
              <w:snapToGrid w:val="0"/>
              <w:spacing w:after="120"/>
              <w:ind w:left="1236" w:leftChars="0"/>
              <w:rPr>
                <w:rFonts w:hint="default" w:ascii="Times New Roman" w:hAnsi="Times New Roman" w:eastAsia="宋体" w:cs="Times New Roman"/>
                <w:iCs/>
                <w:sz w:val="20"/>
                <w:szCs w:val="20"/>
              </w:rPr>
            </w:pPr>
            <w:r>
              <w:rPr>
                <w:rFonts w:hint="default" w:ascii="Times New Roman" w:hAnsi="Times New Roman" w:eastAsia="宋体" w:cs="Times New Roman"/>
                <w:iCs/>
                <w:sz w:val="20"/>
                <w:szCs w:val="20"/>
              </w:rPr>
              <w:t>Network indication of enable/disable this CSSF enhancement is per-UE.</w:t>
            </w:r>
          </w:p>
          <w:p w14:paraId="21229A23">
            <w:pPr>
              <w:numPr>
                <w:ilvl w:val="1"/>
                <w:numId w:val="9"/>
              </w:numPr>
              <w:overflowPunct w:val="0"/>
              <w:autoSpaceDE w:val="0"/>
              <w:autoSpaceDN w:val="0"/>
              <w:adjustRightInd w:val="0"/>
              <w:snapToGrid w:val="0"/>
              <w:spacing w:after="120"/>
              <w:ind w:left="1236" w:leftChars="0"/>
              <w:rPr>
                <w:rFonts w:hint="default" w:ascii="Times New Roman" w:hAnsi="Times New Roman" w:eastAsia="宋体" w:cs="Times New Roman"/>
                <w:iCs/>
                <w:sz w:val="20"/>
                <w:szCs w:val="20"/>
              </w:rPr>
            </w:pPr>
            <w:r>
              <w:rPr>
                <w:rFonts w:hint="default" w:ascii="Times New Roman" w:hAnsi="Times New Roman" w:eastAsia="宋体" w:cs="Times New Roman"/>
                <w:iCs/>
                <w:sz w:val="20"/>
                <w:szCs w:val="20"/>
              </w:rPr>
              <w:t>Follow the following principle for serving and neighboring cell measurement</w:t>
            </w:r>
          </w:p>
          <w:p w14:paraId="6BED85E0">
            <w:pPr>
              <w:numPr>
                <w:ilvl w:val="2"/>
                <w:numId w:val="9"/>
              </w:numPr>
              <w:suppressAutoHyphens/>
              <w:snapToGrid w:val="0"/>
              <w:spacing w:after="120"/>
              <w:ind w:left="1956" w:leftChars="0"/>
              <w:rPr>
                <w:rFonts w:hint="default" w:ascii="Times New Roman" w:hAnsi="Times New Roman" w:eastAsia="宋体" w:cs="Times New Roman"/>
                <w:iCs/>
                <w:sz w:val="20"/>
                <w:szCs w:val="20"/>
                <w:lang w:val="en-GB" w:eastAsia="en-US"/>
              </w:rPr>
            </w:pPr>
            <w:r>
              <w:rPr>
                <w:rFonts w:hint="default" w:ascii="Times New Roman" w:hAnsi="Times New Roman" w:eastAsia="宋体" w:cs="Times New Roman"/>
                <w:iCs/>
                <w:sz w:val="20"/>
                <w:szCs w:val="20"/>
                <w:lang w:val="en-GB" w:eastAsia="en-US"/>
              </w:rPr>
              <w:t>Measure PCC if PCC in band</w:t>
            </w:r>
          </w:p>
          <w:p w14:paraId="7CDC56C2">
            <w:pPr>
              <w:numPr>
                <w:ilvl w:val="2"/>
                <w:numId w:val="9"/>
              </w:numPr>
              <w:suppressAutoHyphens/>
              <w:snapToGrid w:val="0"/>
              <w:spacing w:after="120"/>
              <w:ind w:left="1956" w:leftChars="0"/>
              <w:rPr>
                <w:rFonts w:hint="default" w:ascii="Times New Roman" w:hAnsi="Times New Roman" w:eastAsia="宋体" w:cs="Times New Roman"/>
                <w:iCs/>
                <w:sz w:val="20"/>
                <w:szCs w:val="20"/>
                <w:lang w:val="en-GB" w:eastAsia="en-US"/>
              </w:rPr>
            </w:pPr>
            <w:r>
              <w:rPr>
                <w:rFonts w:hint="default" w:ascii="Times New Roman" w:hAnsi="Times New Roman" w:eastAsia="宋体" w:cs="Times New Roman"/>
                <w:iCs/>
                <w:sz w:val="20"/>
                <w:szCs w:val="20"/>
                <w:lang w:val="en-GB" w:eastAsia="en-US"/>
              </w:rPr>
              <w:t>Measure PSCC if PSCC in band</w:t>
            </w:r>
          </w:p>
          <w:p w14:paraId="5849ECFE">
            <w:pPr>
              <w:numPr>
                <w:ilvl w:val="2"/>
                <w:numId w:val="9"/>
              </w:numPr>
              <w:suppressAutoHyphens/>
              <w:snapToGrid w:val="0"/>
              <w:spacing w:after="120"/>
              <w:ind w:left="1956" w:leftChars="0"/>
              <w:rPr>
                <w:rFonts w:hint="default" w:ascii="Times New Roman" w:hAnsi="Times New Roman" w:eastAsia="宋体" w:cs="Times New Roman"/>
                <w:iCs/>
                <w:sz w:val="20"/>
                <w:szCs w:val="20"/>
                <w:lang w:val="en-GB" w:eastAsia="en-US"/>
              </w:rPr>
            </w:pPr>
            <w:r>
              <w:rPr>
                <w:rFonts w:hint="default" w:ascii="Times New Roman" w:hAnsi="Times New Roman" w:eastAsia="宋体" w:cs="Times New Roman"/>
                <w:iCs/>
                <w:sz w:val="20"/>
                <w:szCs w:val="20"/>
                <w:lang w:val="en-GB" w:eastAsia="en-US"/>
              </w:rPr>
              <w:t>Measure SCC on which UE is configured to report SSB based measurements, if</w:t>
            </w:r>
          </w:p>
          <w:p w14:paraId="5BE6D859">
            <w:pPr>
              <w:numPr>
                <w:ilvl w:val="3"/>
                <w:numId w:val="9"/>
              </w:numPr>
              <w:suppressAutoHyphens/>
              <w:snapToGrid w:val="0"/>
              <w:spacing w:after="120"/>
              <w:ind w:left="2676" w:leftChars="0"/>
              <w:rPr>
                <w:rFonts w:hint="default" w:ascii="Times New Roman" w:hAnsi="Times New Roman" w:eastAsia="宋体" w:cs="Times New Roman"/>
                <w:iCs/>
                <w:sz w:val="20"/>
                <w:szCs w:val="20"/>
                <w:lang w:val="en-GB" w:eastAsia="en-US"/>
              </w:rPr>
            </w:pPr>
            <w:r>
              <w:rPr>
                <w:rFonts w:hint="default" w:ascii="Times New Roman" w:hAnsi="Times New Roman" w:eastAsia="宋体" w:cs="Times New Roman"/>
                <w:iCs/>
                <w:sz w:val="20"/>
                <w:szCs w:val="20"/>
                <w:lang w:val="en-GB" w:eastAsia="en-US"/>
              </w:rPr>
              <w:t>there is only one SCC on which UE is configured to report SSB based measurements on same FR2 band and no PCC/PSCC in band</w:t>
            </w:r>
          </w:p>
          <w:p w14:paraId="37A499E1">
            <w:pPr>
              <w:numPr>
                <w:ilvl w:val="1"/>
                <w:numId w:val="9"/>
              </w:numPr>
              <w:overflowPunct w:val="0"/>
              <w:autoSpaceDE w:val="0"/>
              <w:autoSpaceDN w:val="0"/>
              <w:adjustRightInd w:val="0"/>
              <w:snapToGrid w:val="0"/>
              <w:spacing w:after="120"/>
              <w:ind w:left="1236" w:leftChars="0"/>
              <w:rPr>
                <w:rFonts w:hint="default" w:ascii="Times New Roman" w:hAnsi="Times New Roman" w:eastAsia="宋体" w:cs="Times New Roman"/>
                <w:iCs/>
                <w:sz w:val="20"/>
                <w:szCs w:val="20"/>
              </w:rPr>
            </w:pPr>
            <w:r>
              <w:rPr>
                <w:rFonts w:hint="default" w:ascii="Times New Roman" w:hAnsi="Times New Roman" w:eastAsia="宋体" w:cs="Times New Roman"/>
                <w:iCs/>
                <w:sz w:val="20"/>
                <w:szCs w:val="20"/>
              </w:rPr>
              <w:t>Follow the network indication to measure a SCC, if</w:t>
            </w:r>
          </w:p>
          <w:p w14:paraId="5833CA3E">
            <w:pPr>
              <w:numPr>
                <w:ilvl w:val="2"/>
                <w:numId w:val="9"/>
              </w:numPr>
              <w:suppressAutoHyphens/>
              <w:snapToGrid w:val="0"/>
              <w:spacing w:after="120"/>
              <w:ind w:left="1956" w:leftChars="0"/>
              <w:rPr>
                <w:rFonts w:hint="default" w:ascii="Times New Roman" w:hAnsi="Times New Roman" w:eastAsia="宋体" w:cs="Times New Roman"/>
                <w:iCs/>
                <w:sz w:val="20"/>
                <w:szCs w:val="20"/>
                <w:lang w:val="en-GB" w:eastAsia="en-US"/>
              </w:rPr>
            </w:pPr>
            <w:r>
              <w:rPr>
                <w:rFonts w:hint="default" w:ascii="Times New Roman" w:hAnsi="Times New Roman" w:eastAsia="宋体" w:cs="Times New Roman"/>
                <w:iCs/>
                <w:sz w:val="20"/>
                <w:szCs w:val="20"/>
                <w:lang w:val="en-GB" w:eastAsia="en-US"/>
              </w:rPr>
              <w:t>neither PCC nor PSCC is in band, and</w:t>
            </w:r>
          </w:p>
          <w:p w14:paraId="2E8BFDE8">
            <w:pPr>
              <w:numPr>
                <w:ilvl w:val="2"/>
                <w:numId w:val="9"/>
              </w:numPr>
              <w:suppressAutoHyphens/>
              <w:snapToGrid w:val="0"/>
              <w:spacing w:after="120"/>
              <w:ind w:left="1956" w:leftChars="0"/>
              <w:rPr>
                <w:rFonts w:hint="default" w:ascii="Times New Roman" w:hAnsi="Times New Roman" w:eastAsia="宋体" w:cs="Times New Roman"/>
                <w:iCs/>
                <w:sz w:val="20"/>
                <w:szCs w:val="20"/>
                <w:lang w:val="en-GB" w:eastAsia="en-US"/>
              </w:rPr>
            </w:pPr>
            <w:r>
              <w:rPr>
                <w:rFonts w:hint="default" w:ascii="Times New Roman" w:hAnsi="Times New Roman" w:eastAsia="宋体" w:cs="Times New Roman"/>
                <w:iCs/>
                <w:sz w:val="20"/>
                <w:szCs w:val="20"/>
                <w:lang w:val="en-GB" w:eastAsia="en-US"/>
              </w:rPr>
              <w:t>if there is no SCCs on which UE is configured to report SSB based measurements in band, or</w:t>
            </w:r>
          </w:p>
          <w:p w14:paraId="5BBBF637">
            <w:pPr>
              <w:numPr>
                <w:ilvl w:val="2"/>
                <w:numId w:val="9"/>
              </w:numPr>
              <w:suppressAutoHyphens/>
              <w:snapToGrid w:val="0"/>
              <w:spacing w:after="120"/>
              <w:ind w:left="1956" w:leftChars="0"/>
              <w:rPr>
                <w:rFonts w:hint="default" w:ascii="Times New Roman" w:hAnsi="Times New Roman" w:eastAsia="宋体" w:cs="Times New Roman"/>
                <w:iCs/>
                <w:sz w:val="20"/>
                <w:szCs w:val="20"/>
                <w:lang w:val="en-GB" w:eastAsia="en-US"/>
              </w:rPr>
            </w:pPr>
            <w:r>
              <w:rPr>
                <w:rFonts w:hint="default" w:ascii="Times New Roman" w:hAnsi="Times New Roman" w:eastAsia="宋体" w:cs="Times New Roman"/>
                <w:iCs/>
                <w:sz w:val="20"/>
                <w:szCs w:val="20"/>
                <w:lang w:val="en-GB" w:eastAsia="en-US"/>
              </w:rPr>
              <w:t>if there are multiple SCCs on which UE is configured to report SSB based measurements in band.</w:t>
            </w:r>
          </w:p>
          <w:p w14:paraId="5B9C1ACF">
            <w:pPr>
              <w:numPr>
                <w:ilvl w:val="2"/>
                <w:numId w:val="9"/>
              </w:numPr>
              <w:suppressAutoHyphens/>
              <w:snapToGrid w:val="0"/>
              <w:spacing w:after="120"/>
              <w:ind w:left="1956" w:leftChars="0"/>
              <w:rPr>
                <w:rFonts w:hint="default" w:ascii="Times New Roman" w:hAnsi="Times New Roman" w:eastAsia="宋体" w:cs="Times New Roman"/>
                <w:iCs/>
                <w:sz w:val="20"/>
                <w:szCs w:val="20"/>
                <w:lang w:val="en-GB" w:eastAsia="en-US"/>
              </w:rPr>
            </w:pPr>
            <w:r>
              <w:rPr>
                <w:rFonts w:hint="default" w:ascii="Times New Roman" w:hAnsi="Times New Roman" w:eastAsia="宋体" w:cs="Times New Roman"/>
                <w:iCs/>
                <w:sz w:val="20"/>
                <w:szCs w:val="20"/>
                <w:lang w:val="en-GB" w:eastAsia="en-US"/>
              </w:rPr>
              <w:t>Network indication of a specific SCC per-band for measurement.</w:t>
            </w:r>
          </w:p>
          <w:p w14:paraId="0E124510">
            <w:pPr>
              <w:numPr>
                <w:ilvl w:val="3"/>
                <w:numId w:val="9"/>
              </w:numPr>
              <w:suppressAutoHyphens/>
              <w:snapToGrid w:val="0"/>
              <w:spacing w:after="120"/>
              <w:ind w:left="2676" w:leftChars="0"/>
              <w:rPr>
                <w:rFonts w:hint="default" w:ascii="Times New Roman" w:hAnsi="Times New Roman" w:eastAsia="宋体" w:cs="Times New Roman"/>
                <w:iCs/>
                <w:sz w:val="20"/>
                <w:szCs w:val="20"/>
                <w:lang w:val="en-GB" w:eastAsia="en-US"/>
              </w:rPr>
            </w:pPr>
            <w:r>
              <w:rPr>
                <w:rFonts w:hint="default" w:ascii="Times New Roman" w:hAnsi="Times New Roman" w:eastAsia="宋体" w:cs="Times New Roman"/>
                <w:iCs/>
                <w:sz w:val="20"/>
                <w:szCs w:val="20"/>
                <w:lang w:val="en-GB" w:eastAsia="en-US"/>
              </w:rPr>
              <w:t>if network indicates which of the SCC to be measured in a band, UE will perform both serving and neighbour cell measurements on the indicated SCC in a band.</w:t>
            </w:r>
          </w:p>
          <w:p w14:paraId="62942A47">
            <w:pPr>
              <w:numPr>
                <w:ilvl w:val="1"/>
                <w:numId w:val="9"/>
              </w:numPr>
              <w:overflowPunct w:val="0"/>
              <w:autoSpaceDE w:val="0"/>
              <w:autoSpaceDN w:val="0"/>
              <w:adjustRightInd w:val="0"/>
              <w:snapToGrid w:val="0"/>
              <w:spacing w:after="120"/>
              <w:ind w:left="1236" w:leftChars="0"/>
              <w:rPr>
                <w:rFonts w:hint="default" w:ascii="Times New Roman" w:hAnsi="Times New Roman" w:eastAsia="宋体" w:cs="Times New Roman"/>
                <w:iCs/>
                <w:sz w:val="20"/>
                <w:szCs w:val="20"/>
              </w:rPr>
            </w:pPr>
            <w:r>
              <w:rPr>
                <w:rFonts w:hint="default" w:ascii="Times New Roman" w:hAnsi="Times New Roman" w:eastAsia="宋体" w:cs="Times New Roman"/>
                <w:iCs/>
                <w:sz w:val="20"/>
                <w:szCs w:val="20"/>
              </w:rPr>
              <w:t xml:space="preserve">Otherwise, </w:t>
            </w:r>
            <w:r>
              <w:rPr>
                <w:rFonts w:hint="default" w:ascii="Times New Roman" w:hAnsi="Times New Roman" w:cs="Times New Roman"/>
                <w:iCs/>
                <w:sz w:val="20"/>
                <w:szCs w:val="20"/>
              </w:rPr>
              <w:t>UE will perform serving and neighbor cell measurements on one SCC per band, which SCC to measure is up to UE implementation.</w:t>
            </w:r>
          </w:p>
          <w:p w14:paraId="1362E2D1">
            <w:pPr>
              <w:numPr>
                <w:ilvl w:val="0"/>
                <w:numId w:val="9"/>
              </w:numPr>
              <w:overflowPunct w:val="0"/>
              <w:autoSpaceDE w:val="0"/>
              <w:autoSpaceDN w:val="0"/>
              <w:adjustRightInd w:val="0"/>
              <w:snapToGrid w:val="0"/>
              <w:spacing w:after="120"/>
              <w:ind w:left="516" w:leftChars="0"/>
              <w:rPr>
                <w:rFonts w:hint="default" w:ascii="Times New Roman" w:hAnsi="Times New Roman" w:cs="Times New Roman"/>
                <w:iCs/>
                <w:sz w:val="20"/>
                <w:szCs w:val="20"/>
              </w:rPr>
            </w:pPr>
            <w:r>
              <w:rPr>
                <w:rFonts w:hint="default" w:ascii="Times New Roman" w:hAnsi="Times New Roman" w:cs="Times New Roman"/>
                <w:iCs/>
                <w:sz w:val="20"/>
                <w:szCs w:val="20"/>
              </w:rPr>
              <w:t>Otherwise, UE will follow the R15 spec to perform serving and neighbor cell measurements.</w:t>
            </w:r>
          </w:p>
          <w:p w14:paraId="2730A7FC">
            <w:pPr>
              <w:keepNext w:val="0"/>
              <w:keepLines w:val="0"/>
              <w:pageBreakBefore w:val="0"/>
              <w:kinsoku/>
              <w:wordWrap/>
              <w:overflowPunct/>
              <w:topLinePunct w:val="0"/>
              <w:autoSpaceDE/>
              <w:autoSpaceDN/>
              <w:bidi w:val="0"/>
              <w:adjustRightInd/>
              <w:snapToGrid/>
              <w:spacing w:before="180" w:after="180" w:line="240" w:lineRule="auto"/>
              <w:textAlignment w:val="auto"/>
              <w:rPr>
                <w:rFonts w:hint="eastAsia" w:ascii="Times New Roman" w:hAnsi="Times New Roman"/>
                <w:sz w:val="20"/>
                <w:szCs w:val="20"/>
                <w:vertAlign w:val="baseline"/>
                <w:lang w:val="en-US" w:eastAsia="zh-CN"/>
              </w:rPr>
            </w:pPr>
            <w:r>
              <w:rPr>
                <w:rFonts w:hint="default" w:ascii="Times New Roman" w:hAnsi="Times New Roman" w:cs="Times New Roman"/>
                <w:iCs/>
                <w:sz w:val="20"/>
                <w:szCs w:val="20"/>
              </w:rPr>
              <w:t>Note: Following the WID, the above agreement applies for the measurement without gap.</w:t>
            </w:r>
          </w:p>
        </w:tc>
      </w:tr>
    </w:tbl>
    <w:p w14:paraId="05E56EEE">
      <w:pPr>
        <w:keepNext w:val="0"/>
        <w:keepLines w:val="0"/>
        <w:pageBreakBefore w:val="0"/>
        <w:kinsoku/>
        <w:wordWrap/>
        <w:overflowPunct/>
        <w:topLinePunct w:val="0"/>
        <w:autoSpaceDE/>
        <w:autoSpaceDN/>
        <w:bidi w:val="0"/>
        <w:adjustRightInd/>
        <w:snapToGrid/>
        <w:spacing w:before="180" w:after="180" w:line="240" w:lineRule="auto"/>
        <w:textAlignment w:val="auto"/>
        <w:rPr>
          <w:rFonts w:hint="eastAsia" w:ascii="Times New Roman" w:hAnsi="Times New Roman"/>
          <w:sz w:val="20"/>
          <w:szCs w:val="20"/>
          <w:lang w:val="en-US" w:eastAsia="zh-CN"/>
        </w:rPr>
      </w:pPr>
    </w:p>
    <w:p w14:paraId="3D346E8E">
      <w:pPr>
        <w:keepNext w:val="0"/>
        <w:keepLines w:val="0"/>
        <w:pageBreakBefore w:val="0"/>
        <w:kinsoku/>
        <w:wordWrap/>
        <w:overflowPunct/>
        <w:topLinePunct w:val="0"/>
        <w:autoSpaceDE/>
        <w:autoSpaceDN/>
        <w:bidi w:val="0"/>
        <w:adjustRightInd/>
        <w:snapToGrid/>
        <w:spacing w:before="180" w:after="180" w:line="240" w:lineRule="auto"/>
        <w:textAlignment w:val="auto"/>
        <w:rPr>
          <w:rFonts w:hint="eastAsia" w:ascii="Times New Roman" w:hAnsi="Times New Roman"/>
          <w:b/>
          <w:bCs/>
          <w:i/>
          <w:iCs/>
          <w:sz w:val="20"/>
          <w:szCs w:val="20"/>
          <w:lang w:val="en-US" w:eastAsia="zh-CN"/>
        </w:rPr>
      </w:pPr>
      <w:r>
        <w:rPr>
          <w:rFonts w:hint="eastAsia" w:ascii="Times New Roman" w:hAnsi="Times New Roman"/>
          <w:b/>
          <w:bCs/>
          <w:i/>
          <w:iCs/>
          <w:sz w:val="20"/>
          <w:szCs w:val="20"/>
          <w:lang w:val="en-US" w:eastAsia="zh-CN"/>
        </w:rPr>
        <w:t>Proposal 2: it is proposed to follow previous RAN4 agreements and reply RAN2 that alternative 1 is prefered, and inform RAN2 the whole principle as following:</w:t>
      </w:r>
    </w:p>
    <w:p w14:paraId="2CE498FF">
      <w:pPr>
        <w:numPr>
          <w:ilvl w:val="0"/>
          <w:numId w:val="9"/>
        </w:numPr>
        <w:overflowPunct w:val="0"/>
        <w:autoSpaceDE w:val="0"/>
        <w:autoSpaceDN w:val="0"/>
        <w:adjustRightInd w:val="0"/>
        <w:snapToGrid w:val="0"/>
        <w:spacing w:after="120"/>
        <w:ind w:left="816" w:leftChars="0"/>
        <w:rPr>
          <w:rFonts w:hint="default" w:ascii="Times New Roman" w:hAnsi="Times New Roman" w:eastAsia="宋体" w:cs="Times New Roman"/>
          <w:b/>
          <w:bCs/>
          <w:i/>
          <w:iCs/>
          <w:sz w:val="20"/>
          <w:szCs w:val="20"/>
        </w:rPr>
      </w:pPr>
      <w:r>
        <w:rPr>
          <w:rFonts w:hint="default" w:ascii="Times New Roman" w:hAnsi="Times New Roman" w:eastAsia="宋体" w:cs="Times New Roman"/>
          <w:b/>
          <w:bCs/>
          <w:i/>
          <w:iCs/>
          <w:sz w:val="20"/>
          <w:szCs w:val="20"/>
        </w:rPr>
        <w:t xml:space="preserve"> Principle</w:t>
      </w:r>
      <w:r>
        <w:rPr>
          <w:rFonts w:hint="eastAsia" w:ascii="Times New Roman" w:hAnsi="Times New Roman" w:cs="Times New Roman"/>
          <w:b/>
          <w:bCs/>
          <w:i/>
          <w:iCs/>
          <w:sz w:val="20"/>
          <w:szCs w:val="20"/>
          <w:lang w:val="en-US" w:eastAsia="zh-CN"/>
        </w:rPr>
        <w:t xml:space="preserve"> to determine the CC on which UE peroform</w:t>
      </w:r>
      <w:r>
        <w:rPr>
          <w:rFonts w:hint="default" w:ascii="Times New Roman" w:hAnsi="Times New Roman" w:eastAsia="宋体" w:cs="Times New Roman"/>
          <w:b/>
          <w:bCs/>
          <w:i/>
          <w:iCs/>
          <w:sz w:val="20"/>
          <w:szCs w:val="20"/>
        </w:rPr>
        <w:t xml:space="preserve"> serving and neighboring cell measurement</w:t>
      </w:r>
    </w:p>
    <w:p w14:paraId="2ECF073A">
      <w:pPr>
        <w:numPr>
          <w:ilvl w:val="1"/>
          <w:numId w:val="9"/>
        </w:numPr>
        <w:suppressAutoHyphens/>
        <w:snapToGrid w:val="0"/>
        <w:spacing w:after="120"/>
        <w:ind w:left="1536" w:leftChars="0"/>
        <w:rPr>
          <w:rFonts w:hint="default" w:ascii="Times New Roman" w:hAnsi="Times New Roman" w:eastAsia="宋体" w:cs="Times New Roman"/>
          <w:b/>
          <w:bCs/>
          <w:i/>
          <w:iCs/>
          <w:sz w:val="20"/>
          <w:szCs w:val="20"/>
          <w:lang w:val="en-GB" w:eastAsia="en-US"/>
        </w:rPr>
      </w:pPr>
      <w:r>
        <w:rPr>
          <w:rFonts w:hint="default" w:ascii="Times New Roman" w:hAnsi="Times New Roman" w:eastAsia="宋体" w:cs="Times New Roman"/>
          <w:b/>
          <w:bCs/>
          <w:i/>
          <w:iCs/>
          <w:sz w:val="20"/>
          <w:szCs w:val="20"/>
          <w:lang w:val="en-GB" w:eastAsia="en-US"/>
        </w:rPr>
        <w:t>Measure PCC if PCC in band</w:t>
      </w:r>
    </w:p>
    <w:p w14:paraId="64FD3309">
      <w:pPr>
        <w:numPr>
          <w:ilvl w:val="1"/>
          <w:numId w:val="9"/>
        </w:numPr>
        <w:suppressAutoHyphens/>
        <w:snapToGrid w:val="0"/>
        <w:spacing w:after="120"/>
        <w:ind w:left="1536" w:leftChars="0"/>
        <w:rPr>
          <w:rFonts w:hint="default" w:ascii="Times New Roman" w:hAnsi="Times New Roman" w:eastAsia="宋体" w:cs="Times New Roman"/>
          <w:b/>
          <w:bCs/>
          <w:i/>
          <w:iCs/>
          <w:sz w:val="20"/>
          <w:szCs w:val="20"/>
          <w:lang w:val="en-GB" w:eastAsia="en-US"/>
        </w:rPr>
      </w:pPr>
      <w:r>
        <w:rPr>
          <w:rFonts w:hint="default" w:ascii="Times New Roman" w:hAnsi="Times New Roman" w:eastAsia="宋体" w:cs="Times New Roman"/>
          <w:b/>
          <w:bCs/>
          <w:i/>
          <w:iCs/>
          <w:sz w:val="20"/>
          <w:szCs w:val="20"/>
          <w:lang w:val="en-GB" w:eastAsia="en-US"/>
        </w:rPr>
        <w:t>Measure PSCC if PSCC in band</w:t>
      </w:r>
    </w:p>
    <w:p w14:paraId="5EF64D63">
      <w:pPr>
        <w:numPr>
          <w:ilvl w:val="1"/>
          <w:numId w:val="9"/>
        </w:numPr>
        <w:suppressAutoHyphens/>
        <w:snapToGrid w:val="0"/>
        <w:spacing w:after="120"/>
        <w:ind w:left="1536" w:leftChars="0"/>
        <w:rPr>
          <w:rFonts w:hint="default" w:ascii="Times New Roman" w:hAnsi="Times New Roman"/>
          <w:b/>
          <w:bCs/>
          <w:i/>
          <w:iCs/>
          <w:sz w:val="20"/>
          <w:szCs w:val="20"/>
          <w:lang w:val="en-US" w:eastAsia="zh-CN"/>
        </w:rPr>
      </w:pPr>
      <w:r>
        <w:rPr>
          <w:rFonts w:hint="default" w:ascii="Times New Roman" w:hAnsi="Times New Roman" w:eastAsia="宋体" w:cs="Times New Roman"/>
          <w:b/>
          <w:bCs/>
          <w:i/>
          <w:iCs/>
          <w:sz w:val="20"/>
          <w:szCs w:val="20"/>
          <w:lang w:val="en-GB" w:eastAsia="en-US"/>
        </w:rPr>
        <w:t>Measure SCC on which UE is configured to report SSB based measurements, if</w:t>
      </w:r>
      <w:r>
        <w:rPr>
          <w:rFonts w:hint="eastAsia" w:ascii="Times New Roman" w:hAnsi="Times New Roman" w:cs="Times New Roman"/>
          <w:b/>
          <w:bCs/>
          <w:i/>
          <w:iCs/>
          <w:sz w:val="20"/>
          <w:szCs w:val="20"/>
          <w:lang w:val="en-US" w:eastAsia="zh-CN"/>
        </w:rPr>
        <w:t xml:space="preserve"> </w:t>
      </w:r>
      <w:r>
        <w:rPr>
          <w:rFonts w:hint="default" w:ascii="Times New Roman" w:hAnsi="Times New Roman" w:eastAsia="宋体" w:cs="Times New Roman"/>
          <w:b/>
          <w:bCs/>
          <w:i/>
          <w:iCs/>
          <w:sz w:val="20"/>
          <w:szCs w:val="20"/>
          <w:lang w:val="en-GB" w:eastAsia="en-US"/>
        </w:rPr>
        <w:t>there is only one SCC on which UE is configured to report SSB based measurements on same FR2 band and no PCC/PSCC in band</w:t>
      </w:r>
    </w:p>
    <w:p w14:paraId="35C1832E">
      <w:pPr>
        <w:numPr>
          <w:ilvl w:val="1"/>
          <w:numId w:val="9"/>
        </w:numPr>
        <w:suppressAutoHyphens/>
        <w:snapToGrid w:val="0"/>
        <w:spacing w:after="120"/>
        <w:ind w:left="1536" w:leftChars="0"/>
        <w:rPr>
          <w:rFonts w:hint="default" w:ascii="Times New Roman" w:hAnsi="Times New Roman" w:eastAsia="宋体" w:cs="Times New Roman"/>
          <w:b/>
          <w:bCs/>
          <w:i/>
          <w:iCs/>
          <w:sz w:val="20"/>
          <w:szCs w:val="20"/>
        </w:rPr>
      </w:pPr>
      <w:r>
        <w:rPr>
          <w:rFonts w:hint="default" w:ascii="Times New Roman" w:hAnsi="Times New Roman" w:eastAsia="宋体" w:cs="Times New Roman"/>
          <w:b/>
          <w:bCs/>
          <w:i/>
          <w:iCs/>
          <w:sz w:val="20"/>
          <w:szCs w:val="20"/>
        </w:rPr>
        <w:t>Follow the network indication to measure a SCC, if</w:t>
      </w:r>
    </w:p>
    <w:p w14:paraId="3C899E2C">
      <w:pPr>
        <w:numPr>
          <w:ilvl w:val="2"/>
          <w:numId w:val="9"/>
        </w:numPr>
        <w:suppressAutoHyphens/>
        <w:snapToGrid w:val="0"/>
        <w:spacing w:after="120"/>
        <w:ind w:left="1956" w:leftChars="0"/>
        <w:rPr>
          <w:rFonts w:hint="default" w:ascii="Times New Roman" w:hAnsi="Times New Roman" w:eastAsia="宋体" w:cs="Times New Roman"/>
          <w:b/>
          <w:bCs/>
          <w:i/>
          <w:iCs/>
          <w:sz w:val="20"/>
          <w:szCs w:val="20"/>
          <w:lang w:val="en-GB" w:eastAsia="en-US"/>
        </w:rPr>
      </w:pPr>
      <w:r>
        <w:rPr>
          <w:rFonts w:hint="default" w:ascii="Times New Roman" w:hAnsi="Times New Roman" w:eastAsia="宋体" w:cs="Times New Roman"/>
          <w:b/>
          <w:bCs/>
          <w:i/>
          <w:iCs/>
          <w:sz w:val="20"/>
          <w:szCs w:val="20"/>
          <w:lang w:val="en-GB" w:eastAsia="en-US"/>
        </w:rPr>
        <w:t>neither PCC nor PSCC is in band, and</w:t>
      </w:r>
    </w:p>
    <w:p w14:paraId="76FEF152">
      <w:pPr>
        <w:numPr>
          <w:ilvl w:val="2"/>
          <w:numId w:val="9"/>
        </w:numPr>
        <w:suppressAutoHyphens/>
        <w:snapToGrid w:val="0"/>
        <w:spacing w:after="120"/>
        <w:ind w:left="1956" w:leftChars="0"/>
        <w:rPr>
          <w:rFonts w:hint="default" w:ascii="Times New Roman" w:hAnsi="Times New Roman" w:eastAsia="宋体" w:cs="Times New Roman"/>
          <w:b/>
          <w:bCs/>
          <w:i/>
          <w:iCs/>
          <w:sz w:val="20"/>
          <w:szCs w:val="20"/>
          <w:lang w:val="en-GB" w:eastAsia="en-US"/>
        </w:rPr>
      </w:pPr>
      <w:r>
        <w:rPr>
          <w:rFonts w:hint="default" w:ascii="Times New Roman" w:hAnsi="Times New Roman" w:eastAsia="宋体" w:cs="Times New Roman"/>
          <w:b/>
          <w:bCs/>
          <w:i/>
          <w:iCs/>
          <w:sz w:val="20"/>
          <w:szCs w:val="20"/>
          <w:lang w:val="en-GB" w:eastAsia="en-US"/>
        </w:rPr>
        <w:t>if there is no SCCs on which UE is configured to report SSB based measurements in band, or</w:t>
      </w:r>
    </w:p>
    <w:p w14:paraId="4A859251">
      <w:pPr>
        <w:numPr>
          <w:ilvl w:val="2"/>
          <w:numId w:val="9"/>
        </w:numPr>
        <w:suppressAutoHyphens/>
        <w:snapToGrid w:val="0"/>
        <w:spacing w:after="120"/>
        <w:ind w:left="1956" w:leftChars="0"/>
        <w:rPr>
          <w:rFonts w:hint="default" w:ascii="Times New Roman" w:hAnsi="Times New Roman" w:eastAsia="宋体" w:cs="Times New Roman"/>
          <w:b/>
          <w:bCs/>
          <w:i/>
          <w:iCs/>
          <w:sz w:val="20"/>
          <w:szCs w:val="20"/>
          <w:lang w:val="en-GB" w:eastAsia="en-US"/>
        </w:rPr>
      </w:pPr>
      <w:r>
        <w:rPr>
          <w:rFonts w:hint="default" w:ascii="Times New Roman" w:hAnsi="Times New Roman" w:eastAsia="宋体" w:cs="Times New Roman"/>
          <w:b/>
          <w:bCs/>
          <w:i/>
          <w:iCs/>
          <w:sz w:val="20"/>
          <w:szCs w:val="20"/>
          <w:lang w:val="en-GB" w:eastAsia="en-US"/>
        </w:rPr>
        <w:t>if there are multiple SCCs on which UE is configured to report SSB based measurements in band.</w:t>
      </w:r>
    </w:p>
    <w:p w14:paraId="4C61026F">
      <w:pPr>
        <w:numPr>
          <w:ilvl w:val="1"/>
          <w:numId w:val="9"/>
        </w:numPr>
        <w:suppressAutoHyphens/>
        <w:snapToGrid w:val="0"/>
        <w:spacing w:after="120"/>
        <w:ind w:left="1536" w:leftChars="0"/>
        <w:rPr>
          <w:rFonts w:hint="default" w:ascii="Times New Roman" w:hAnsi="Times New Roman" w:eastAsia="宋体" w:cs="Times New Roman"/>
          <w:b/>
          <w:bCs/>
          <w:i/>
          <w:iCs/>
          <w:sz w:val="20"/>
          <w:szCs w:val="20"/>
          <w:lang w:val="en-GB" w:eastAsia="en-US"/>
        </w:rPr>
      </w:pPr>
      <w:r>
        <w:rPr>
          <w:rFonts w:hint="default" w:ascii="Times New Roman" w:hAnsi="Times New Roman" w:eastAsia="宋体" w:cs="Times New Roman"/>
          <w:b/>
          <w:bCs/>
          <w:i/>
          <w:iCs/>
          <w:sz w:val="20"/>
          <w:szCs w:val="20"/>
          <w:lang w:val="en-GB" w:eastAsia="en-US"/>
        </w:rPr>
        <w:t>Otherwise, up to UE implementation</w:t>
      </w:r>
      <w:r>
        <w:rPr>
          <w:rFonts w:hint="eastAsia" w:ascii="Times New Roman" w:hAnsi="Times New Roman" w:cs="Times New Roman"/>
          <w:b/>
          <w:bCs/>
          <w:i/>
          <w:iCs/>
          <w:sz w:val="20"/>
          <w:szCs w:val="20"/>
          <w:lang w:val="en-US" w:eastAsia="zh-CN"/>
        </w:rPr>
        <w:t xml:space="preserve"> on which SCC that </w:t>
      </w:r>
      <w:r>
        <w:rPr>
          <w:rFonts w:hint="default" w:ascii="Times New Roman" w:hAnsi="Times New Roman" w:eastAsia="宋体" w:cs="Times New Roman"/>
          <w:b/>
          <w:bCs/>
          <w:i/>
          <w:iCs/>
          <w:sz w:val="20"/>
          <w:szCs w:val="20"/>
          <w:lang w:val="en-GB" w:eastAsia="en-US"/>
        </w:rPr>
        <w:t>UE will perform serving and neighbor cell measurements .</w:t>
      </w:r>
    </w:p>
    <w:p w14:paraId="7505CA1E">
      <w:pPr>
        <w:keepNext w:val="0"/>
        <w:keepLines w:val="0"/>
        <w:pageBreakBefore w:val="0"/>
        <w:kinsoku/>
        <w:wordWrap/>
        <w:overflowPunct/>
        <w:topLinePunct w:val="0"/>
        <w:autoSpaceDE/>
        <w:autoSpaceDN/>
        <w:bidi w:val="0"/>
        <w:adjustRightInd/>
        <w:snapToGrid/>
        <w:spacing w:before="180" w:after="180" w:line="240" w:lineRule="auto"/>
        <w:textAlignment w:val="auto"/>
        <w:rPr>
          <w:rFonts w:hint="eastAsia" w:ascii="Times New Roman" w:hAnsi="Times New Roman"/>
          <w:sz w:val="20"/>
          <w:szCs w:val="20"/>
          <w:lang w:val="en-US" w:eastAsia="zh-CN"/>
        </w:rPr>
      </w:pPr>
    </w:p>
    <w:bookmarkEnd w:id="6"/>
    <w:bookmarkEnd w:id="7"/>
    <w:p w14:paraId="230699AF">
      <w:pPr>
        <w:pStyle w:val="2"/>
        <w:widowControl/>
        <w:numPr>
          <w:ilvl w:val="0"/>
          <w:numId w:val="3"/>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r>
        <w:rPr>
          <w:rFonts w:ascii="Times New Roman" w:hAnsi="Times New Roman"/>
          <w:b w:val="0"/>
          <w:bCs w:val="0"/>
          <w:kern w:val="0"/>
          <w:sz w:val="36"/>
          <w:szCs w:val="36"/>
        </w:rPr>
        <w:t>Conclusion</w:t>
      </w:r>
    </w:p>
    <w:p w14:paraId="52A4826A">
      <w:pPr>
        <w:tabs>
          <w:tab w:val="left" w:pos="1134"/>
        </w:tabs>
        <w:spacing w:after="180" w:line="240" w:lineRule="exact"/>
        <w:rPr>
          <w:rFonts w:hint="eastAsia" w:ascii="Times New Roman" w:hAnsi="Times New Roman"/>
          <w:sz w:val="20"/>
          <w:szCs w:val="20"/>
          <w:highlight w:val="none"/>
        </w:rPr>
      </w:pPr>
      <w:r>
        <w:rPr>
          <w:rFonts w:hint="eastAsia" w:ascii="Times New Roman" w:hAnsi="Times New Roman"/>
          <w:sz w:val="20"/>
          <w:szCs w:val="20"/>
          <w:highlight w:val="none"/>
          <w:lang w:val="en-GB"/>
        </w:rPr>
        <w:t>T</w:t>
      </w:r>
      <w:r>
        <w:rPr>
          <w:rFonts w:ascii="Times New Roman" w:hAnsi="Times New Roman"/>
          <w:sz w:val="20"/>
          <w:szCs w:val="20"/>
          <w:highlight w:val="none"/>
        </w:rPr>
        <w:t>his contribution</w:t>
      </w:r>
      <w:r>
        <w:rPr>
          <w:rFonts w:hint="eastAsia" w:ascii="Times New Roman" w:hAnsi="Times New Roman"/>
          <w:sz w:val="20"/>
          <w:szCs w:val="20"/>
          <w:highlight w:val="none"/>
        </w:rPr>
        <w:t xml:space="preserve"> provides discussion on</w:t>
      </w:r>
      <w:r>
        <w:rPr>
          <w:rFonts w:ascii="Times New Roman" w:hAnsi="Times New Roman"/>
          <w:sz w:val="20"/>
          <w:szCs w:val="20"/>
          <w:highlight w:val="none"/>
        </w:rPr>
        <w:t xml:space="preserve"> </w:t>
      </w:r>
      <w:r>
        <w:rPr>
          <w:rFonts w:hint="eastAsia" w:ascii="Times New Roman" w:hAnsi="Times New Roman"/>
          <w:sz w:val="20"/>
          <w:szCs w:val="20"/>
          <w:highlight w:val="none"/>
        </w:rPr>
        <w:t>L3 measurement delay reduction by optimizing CSSF outside gap in CA/DC. The proposals are:</w:t>
      </w:r>
    </w:p>
    <w:p w14:paraId="408BF6D1">
      <w:pPr>
        <w:keepNext w:val="0"/>
        <w:keepLines w:val="0"/>
        <w:pageBreakBefore w:val="0"/>
        <w:kinsoku/>
        <w:wordWrap/>
        <w:overflowPunct/>
        <w:topLinePunct w:val="0"/>
        <w:autoSpaceDE/>
        <w:autoSpaceDN/>
        <w:bidi w:val="0"/>
        <w:adjustRightInd/>
        <w:snapToGrid/>
        <w:spacing w:before="180" w:after="180" w:line="240" w:lineRule="auto"/>
        <w:textAlignment w:val="auto"/>
        <w:rPr>
          <w:rFonts w:hint="eastAsia" w:ascii="Times New Roman" w:hAnsi="Times New Roman"/>
          <w:b/>
          <w:bCs/>
          <w:i/>
          <w:iCs/>
          <w:sz w:val="20"/>
          <w:szCs w:val="20"/>
          <w:lang w:val="en-US" w:eastAsia="zh-CN"/>
        </w:rPr>
      </w:pPr>
      <w:r>
        <w:rPr>
          <w:rFonts w:hint="eastAsia" w:ascii="Times New Roman" w:hAnsi="Times New Roman"/>
          <w:b/>
          <w:bCs/>
          <w:i/>
          <w:iCs/>
          <w:sz w:val="20"/>
          <w:szCs w:val="20"/>
          <w:lang w:val="en-US" w:eastAsia="zh-CN"/>
        </w:rPr>
        <w:t xml:space="preserve">Proposal 1: if it is agreed to extend solution 1 to FR1, it is proposed to extend solution 1 only to FR1 intra-band contiguous CA. </w:t>
      </w:r>
    </w:p>
    <w:p w14:paraId="4C001B2E">
      <w:pPr>
        <w:keepNext w:val="0"/>
        <w:keepLines w:val="0"/>
        <w:pageBreakBefore w:val="0"/>
        <w:kinsoku/>
        <w:wordWrap/>
        <w:overflowPunct/>
        <w:topLinePunct w:val="0"/>
        <w:autoSpaceDE/>
        <w:autoSpaceDN/>
        <w:bidi w:val="0"/>
        <w:adjustRightInd/>
        <w:snapToGrid/>
        <w:spacing w:before="180" w:after="180" w:line="240" w:lineRule="auto"/>
        <w:textAlignment w:val="auto"/>
        <w:rPr>
          <w:rFonts w:hint="eastAsia" w:ascii="Times New Roman" w:hAnsi="Times New Roman"/>
          <w:b/>
          <w:bCs/>
          <w:i/>
          <w:iCs/>
          <w:sz w:val="20"/>
          <w:szCs w:val="20"/>
          <w:lang w:val="en-US" w:eastAsia="zh-CN"/>
        </w:rPr>
      </w:pPr>
      <w:r>
        <w:rPr>
          <w:rFonts w:hint="eastAsia" w:ascii="Times New Roman" w:hAnsi="Times New Roman"/>
          <w:b/>
          <w:bCs/>
          <w:i/>
          <w:iCs/>
          <w:sz w:val="20"/>
          <w:szCs w:val="20"/>
          <w:lang w:val="en-US" w:eastAsia="zh-CN"/>
        </w:rPr>
        <w:t>Proposal 2: it is proposed to follow previous RAN4 agreements and reply RAN2 that alternative 1 is prefered, and inform RAN2 the whole principle as following:</w:t>
      </w:r>
    </w:p>
    <w:p w14:paraId="6C0B283E">
      <w:pPr>
        <w:numPr>
          <w:ilvl w:val="0"/>
          <w:numId w:val="9"/>
        </w:numPr>
        <w:overflowPunct w:val="0"/>
        <w:autoSpaceDE w:val="0"/>
        <w:autoSpaceDN w:val="0"/>
        <w:adjustRightInd w:val="0"/>
        <w:snapToGrid w:val="0"/>
        <w:spacing w:after="120"/>
        <w:ind w:left="816" w:leftChars="0"/>
        <w:rPr>
          <w:rFonts w:hint="default" w:ascii="Times New Roman" w:hAnsi="Times New Roman" w:eastAsia="宋体" w:cs="Times New Roman"/>
          <w:b/>
          <w:bCs/>
          <w:i/>
          <w:iCs/>
          <w:sz w:val="20"/>
          <w:szCs w:val="20"/>
        </w:rPr>
      </w:pPr>
      <w:r>
        <w:rPr>
          <w:rFonts w:hint="default" w:ascii="Times New Roman" w:hAnsi="Times New Roman" w:eastAsia="宋体" w:cs="Times New Roman"/>
          <w:b/>
          <w:bCs/>
          <w:i/>
          <w:iCs/>
          <w:sz w:val="20"/>
          <w:szCs w:val="20"/>
        </w:rPr>
        <w:t xml:space="preserve"> Principle</w:t>
      </w:r>
      <w:r>
        <w:rPr>
          <w:rFonts w:hint="eastAsia" w:ascii="Times New Roman" w:hAnsi="Times New Roman" w:cs="Times New Roman"/>
          <w:b/>
          <w:bCs/>
          <w:i/>
          <w:iCs/>
          <w:sz w:val="20"/>
          <w:szCs w:val="20"/>
          <w:lang w:val="en-US" w:eastAsia="zh-CN"/>
        </w:rPr>
        <w:t xml:space="preserve"> to determine the CC on which UE peroform</w:t>
      </w:r>
      <w:r>
        <w:rPr>
          <w:rFonts w:hint="default" w:ascii="Times New Roman" w:hAnsi="Times New Roman" w:eastAsia="宋体" w:cs="Times New Roman"/>
          <w:b/>
          <w:bCs/>
          <w:i/>
          <w:iCs/>
          <w:sz w:val="20"/>
          <w:szCs w:val="20"/>
        </w:rPr>
        <w:t xml:space="preserve"> serving and neighboring cell measurement</w:t>
      </w:r>
    </w:p>
    <w:p w14:paraId="681F3690">
      <w:pPr>
        <w:numPr>
          <w:ilvl w:val="1"/>
          <w:numId w:val="9"/>
        </w:numPr>
        <w:suppressAutoHyphens/>
        <w:snapToGrid w:val="0"/>
        <w:spacing w:after="120"/>
        <w:ind w:left="1536" w:leftChars="0"/>
        <w:rPr>
          <w:rFonts w:hint="default" w:ascii="Times New Roman" w:hAnsi="Times New Roman" w:eastAsia="宋体" w:cs="Times New Roman"/>
          <w:b/>
          <w:bCs/>
          <w:i/>
          <w:iCs/>
          <w:sz w:val="20"/>
          <w:szCs w:val="20"/>
          <w:lang w:val="en-GB" w:eastAsia="en-US"/>
        </w:rPr>
      </w:pPr>
      <w:r>
        <w:rPr>
          <w:rFonts w:hint="default" w:ascii="Times New Roman" w:hAnsi="Times New Roman" w:eastAsia="宋体" w:cs="Times New Roman"/>
          <w:b/>
          <w:bCs/>
          <w:i/>
          <w:iCs/>
          <w:sz w:val="20"/>
          <w:szCs w:val="20"/>
          <w:lang w:val="en-GB" w:eastAsia="en-US"/>
        </w:rPr>
        <w:t>Measure PCC if PCC in band</w:t>
      </w:r>
    </w:p>
    <w:p w14:paraId="61E3966A">
      <w:pPr>
        <w:numPr>
          <w:ilvl w:val="1"/>
          <w:numId w:val="9"/>
        </w:numPr>
        <w:suppressAutoHyphens/>
        <w:snapToGrid w:val="0"/>
        <w:spacing w:after="120"/>
        <w:ind w:left="1536" w:leftChars="0"/>
        <w:rPr>
          <w:rFonts w:hint="default" w:ascii="Times New Roman" w:hAnsi="Times New Roman" w:eastAsia="宋体" w:cs="Times New Roman"/>
          <w:b/>
          <w:bCs/>
          <w:i/>
          <w:iCs/>
          <w:sz w:val="20"/>
          <w:szCs w:val="20"/>
          <w:lang w:val="en-GB" w:eastAsia="en-US"/>
        </w:rPr>
      </w:pPr>
      <w:r>
        <w:rPr>
          <w:rFonts w:hint="default" w:ascii="Times New Roman" w:hAnsi="Times New Roman" w:eastAsia="宋体" w:cs="Times New Roman"/>
          <w:b/>
          <w:bCs/>
          <w:i/>
          <w:iCs/>
          <w:sz w:val="20"/>
          <w:szCs w:val="20"/>
          <w:lang w:val="en-GB" w:eastAsia="en-US"/>
        </w:rPr>
        <w:t>Measure PSCC if PSCC in band</w:t>
      </w:r>
    </w:p>
    <w:p w14:paraId="2E2F3C31">
      <w:pPr>
        <w:numPr>
          <w:ilvl w:val="1"/>
          <w:numId w:val="9"/>
        </w:numPr>
        <w:suppressAutoHyphens/>
        <w:snapToGrid w:val="0"/>
        <w:spacing w:after="120"/>
        <w:ind w:left="1536" w:leftChars="0"/>
        <w:rPr>
          <w:rFonts w:hint="default" w:ascii="Times New Roman" w:hAnsi="Times New Roman"/>
          <w:b/>
          <w:bCs/>
          <w:i/>
          <w:iCs/>
          <w:sz w:val="20"/>
          <w:szCs w:val="20"/>
          <w:lang w:val="en-US" w:eastAsia="zh-CN"/>
        </w:rPr>
      </w:pPr>
      <w:r>
        <w:rPr>
          <w:rFonts w:hint="default" w:ascii="Times New Roman" w:hAnsi="Times New Roman" w:eastAsia="宋体" w:cs="Times New Roman"/>
          <w:b/>
          <w:bCs/>
          <w:i/>
          <w:iCs/>
          <w:sz w:val="20"/>
          <w:szCs w:val="20"/>
          <w:lang w:val="en-GB" w:eastAsia="en-US"/>
        </w:rPr>
        <w:t>Measure SCC on which UE is configured to report SSB based measurements, if</w:t>
      </w:r>
      <w:r>
        <w:rPr>
          <w:rFonts w:hint="eastAsia" w:ascii="Times New Roman" w:hAnsi="Times New Roman" w:cs="Times New Roman"/>
          <w:b/>
          <w:bCs/>
          <w:i/>
          <w:iCs/>
          <w:sz w:val="20"/>
          <w:szCs w:val="20"/>
          <w:lang w:val="en-US" w:eastAsia="zh-CN"/>
        </w:rPr>
        <w:t xml:space="preserve"> </w:t>
      </w:r>
      <w:r>
        <w:rPr>
          <w:rFonts w:hint="default" w:ascii="Times New Roman" w:hAnsi="Times New Roman" w:eastAsia="宋体" w:cs="Times New Roman"/>
          <w:b/>
          <w:bCs/>
          <w:i/>
          <w:iCs/>
          <w:sz w:val="20"/>
          <w:szCs w:val="20"/>
          <w:lang w:val="en-GB" w:eastAsia="en-US"/>
        </w:rPr>
        <w:t>there is only one SCC on which UE is configured to report SSB based measurements on same FR2 band and no PCC/PSCC in band</w:t>
      </w:r>
    </w:p>
    <w:p w14:paraId="255C9C35">
      <w:pPr>
        <w:numPr>
          <w:ilvl w:val="1"/>
          <w:numId w:val="9"/>
        </w:numPr>
        <w:suppressAutoHyphens/>
        <w:snapToGrid w:val="0"/>
        <w:spacing w:after="120"/>
        <w:ind w:left="1536" w:leftChars="0"/>
        <w:rPr>
          <w:rFonts w:hint="default" w:ascii="Times New Roman" w:hAnsi="Times New Roman" w:eastAsia="宋体" w:cs="Times New Roman"/>
          <w:b/>
          <w:bCs/>
          <w:i/>
          <w:iCs/>
          <w:sz w:val="20"/>
          <w:szCs w:val="20"/>
        </w:rPr>
      </w:pPr>
      <w:r>
        <w:rPr>
          <w:rFonts w:hint="default" w:ascii="Times New Roman" w:hAnsi="Times New Roman" w:eastAsia="宋体" w:cs="Times New Roman"/>
          <w:b/>
          <w:bCs/>
          <w:i/>
          <w:iCs/>
          <w:sz w:val="20"/>
          <w:szCs w:val="20"/>
        </w:rPr>
        <w:t>Follow the network indication to measure a SCC, if</w:t>
      </w:r>
    </w:p>
    <w:p w14:paraId="5375D99E">
      <w:pPr>
        <w:numPr>
          <w:ilvl w:val="2"/>
          <w:numId w:val="9"/>
        </w:numPr>
        <w:suppressAutoHyphens/>
        <w:snapToGrid w:val="0"/>
        <w:spacing w:after="120"/>
        <w:ind w:left="1956" w:leftChars="0"/>
        <w:rPr>
          <w:rFonts w:hint="default" w:ascii="Times New Roman" w:hAnsi="Times New Roman" w:eastAsia="宋体" w:cs="Times New Roman"/>
          <w:b/>
          <w:bCs/>
          <w:i/>
          <w:iCs/>
          <w:sz w:val="20"/>
          <w:szCs w:val="20"/>
          <w:lang w:val="en-GB" w:eastAsia="en-US"/>
        </w:rPr>
      </w:pPr>
      <w:r>
        <w:rPr>
          <w:rFonts w:hint="default" w:ascii="Times New Roman" w:hAnsi="Times New Roman" w:eastAsia="宋体" w:cs="Times New Roman"/>
          <w:b/>
          <w:bCs/>
          <w:i/>
          <w:iCs/>
          <w:sz w:val="20"/>
          <w:szCs w:val="20"/>
          <w:lang w:val="en-GB" w:eastAsia="en-US"/>
        </w:rPr>
        <w:t>neither PCC nor PSCC is in band, and</w:t>
      </w:r>
    </w:p>
    <w:p w14:paraId="70AFE024">
      <w:pPr>
        <w:numPr>
          <w:ilvl w:val="2"/>
          <w:numId w:val="9"/>
        </w:numPr>
        <w:suppressAutoHyphens/>
        <w:snapToGrid w:val="0"/>
        <w:spacing w:after="120"/>
        <w:ind w:left="1956" w:leftChars="0"/>
        <w:rPr>
          <w:rFonts w:hint="default" w:ascii="Times New Roman" w:hAnsi="Times New Roman" w:eastAsia="宋体" w:cs="Times New Roman"/>
          <w:b/>
          <w:bCs/>
          <w:i/>
          <w:iCs/>
          <w:sz w:val="20"/>
          <w:szCs w:val="20"/>
          <w:lang w:val="en-GB" w:eastAsia="en-US"/>
        </w:rPr>
      </w:pPr>
      <w:r>
        <w:rPr>
          <w:rFonts w:hint="default" w:ascii="Times New Roman" w:hAnsi="Times New Roman" w:eastAsia="宋体" w:cs="Times New Roman"/>
          <w:b/>
          <w:bCs/>
          <w:i/>
          <w:iCs/>
          <w:sz w:val="20"/>
          <w:szCs w:val="20"/>
          <w:lang w:val="en-GB" w:eastAsia="en-US"/>
        </w:rPr>
        <w:t>if there is no SCCs on which UE is configured to report SSB based measurements in band, or</w:t>
      </w:r>
    </w:p>
    <w:p w14:paraId="362363AC">
      <w:pPr>
        <w:numPr>
          <w:ilvl w:val="2"/>
          <w:numId w:val="9"/>
        </w:numPr>
        <w:suppressAutoHyphens/>
        <w:snapToGrid w:val="0"/>
        <w:spacing w:after="120"/>
        <w:ind w:left="1956" w:leftChars="0"/>
        <w:rPr>
          <w:rFonts w:hint="default" w:ascii="Times New Roman" w:hAnsi="Times New Roman" w:eastAsia="宋体" w:cs="Times New Roman"/>
          <w:b/>
          <w:bCs/>
          <w:i/>
          <w:iCs/>
          <w:sz w:val="20"/>
          <w:szCs w:val="20"/>
          <w:lang w:val="en-GB" w:eastAsia="en-US"/>
        </w:rPr>
      </w:pPr>
      <w:r>
        <w:rPr>
          <w:rFonts w:hint="default" w:ascii="Times New Roman" w:hAnsi="Times New Roman" w:eastAsia="宋体" w:cs="Times New Roman"/>
          <w:b/>
          <w:bCs/>
          <w:i/>
          <w:iCs/>
          <w:sz w:val="20"/>
          <w:szCs w:val="20"/>
          <w:lang w:val="en-GB" w:eastAsia="en-US"/>
        </w:rPr>
        <w:t>if there are multiple SCCs on which UE is configured to report SSB based measurements in band.</w:t>
      </w:r>
    </w:p>
    <w:p w14:paraId="7AB6C18A">
      <w:pPr>
        <w:numPr>
          <w:ilvl w:val="1"/>
          <w:numId w:val="9"/>
        </w:numPr>
        <w:suppressAutoHyphens/>
        <w:snapToGrid w:val="0"/>
        <w:spacing w:after="120"/>
        <w:ind w:left="1536" w:leftChars="0"/>
        <w:rPr>
          <w:rFonts w:hint="default" w:ascii="Times New Roman" w:hAnsi="Times New Roman" w:eastAsia="宋体" w:cs="Times New Roman"/>
          <w:b/>
          <w:bCs/>
          <w:i/>
          <w:iCs/>
          <w:sz w:val="20"/>
          <w:szCs w:val="20"/>
          <w:lang w:val="en-GB" w:eastAsia="en-US"/>
        </w:rPr>
      </w:pPr>
      <w:r>
        <w:rPr>
          <w:rFonts w:hint="default" w:ascii="Times New Roman" w:hAnsi="Times New Roman" w:eastAsia="宋体" w:cs="Times New Roman"/>
          <w:b/>
          <w:bCs/>
          <w:i/>
          <w:iCs/>
          <w:sz w:val="20"/>
          <w:szCs w:val="20"/>
          <w:lang w:val="en-GB" w:eastAsia="en-US"/>
        </w:rPr>
        <w:t>Otherwise, up to UE implementation</w:t>
      </w:r>
      <w:r>
        <w:rPr>
          <w:rFonts w:hint="eastAsia" w:ascii="Times New Roman" w:hAnsi="Times New Roman" w:cs="Times New Roman"/>
          <w:b/>
          <w:bCs/>
          <w:i/>
          <w:iCs/>
          <w:sz w:val="20"/>
          <w:szCs w:val="20"/>
          <w:lang w:val="en-US" w:eastAsia="zh-CN"/>
        </w:rPr>
        <w:t xml:space="preserve"> on which SCC that </w:t>
      </w:r>
      <w:r>
        <w:rPr>
          <w:rFonts w:hint="default" w:ascii="Times New Roman" w:hAnsi="Times New Roman" w:eastAsia="宋体" w:cs="Times New Roman"/>
          <w:b/>
          <w:bCs/>
          <w:i/>
          <w:iCs/>
          <w:sz w:val="20"/>
          <w:szCs w:val="20"/>
          <w:lang w:val="en-GB" w:eastAsia="en-US"/>
        </w:rPr>
        <w:t>UE will perform serving and neighbor cell measurements .</w:t>
      </w:r>
    </w:p>
    <w:p w14:paraId="4C8FF14A">
      <w:pPr>
        <w:tabs>
          <w:tab w:val="left" w:pos="1134"/>
        </w:tabs>
        <w:spacing w:after="180" w:line="240" w:lineRule="exact"/>
        <w:rPr>
          <w:rFonts w:hint="eastAsia" w:ascii="Times New Roman" w:hAnsi="Times New Roman"/>
          <w:sz w:val="20"/>
          <w:szCs w:val="20"/>
          <w:highlight w:val="none"/>
        </w:rPr>
      </w:pPr>
      <w:bookmarkStart w:id="8" w:name="_GoBack"/>
      <w:bookmarkEnd w:id="8"/>
    </w:p>
    <w:p w14:paraId="7AA0D5E1">
      <w:pPr>
        <w:pStyle w:val="2"/>
        <w:widowControl/>
        <w:numPr>
          <w:ilvl w:val="0"/>
          <w:numId w:val="3"/>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617A2367">
      <w:pPr>
        <w:pStyle w:val="13"/>
        <w:keepNext w:val="0"/>
        <w:keepLines w:val="0"/>
        <w:pageBreakBefore w:val="0"/>
        <w:framePr w:wrap="auto" w:vAnchor="margin" w:hAnchor="text" w:yAlign="inline"/>
        <w:widowControl w:val="0"/>
        <w:numPr>
          <w:ilvl w:val="0"/>
          <w:numId w:val="11"/>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ascii="Times" w:hAnsi="Times" w:eastAsia="宋体"/>
          <w:b w:val="0"/>
          <w:sz w:val="20"/>
          <w:lang w:eastAsia="zh-CN"/>
        </w:rPr>
        <w:t>RP-2</w:t>
      </w:r>
      <w:r>
        <w:rPr>
          <w:rFonts w:hint="eastAsia" w:ascii="Times" w:hAnsi="Times" w:eastAsia="宋体"/>
          <w:b w:val="0"/>
          <w:sz w:val="20"/>
          <w:lang w:val="en-US" w:eastAsia="zh-CN"/>
        </w:rPr>
        <w:t>40830</w:t>
      </w:r>
      <w:r>
        <w:rPr>
          <w:rFonts w:ascii="Times" w:hAnsi="Times" w:eastAsia="宋体"/>
          <w:b w:val="0"/>
          <w:sz w:val="20"/>
          <w:lang w:eastAsia="zh-CN"/>
        </w:rPr>
        <w:t xml:space="preserve">, </w:t>
      </w:r>
      <w:r>
        <w:rPr>
          <w:rFonts w:hint="eastAsia" w:ascii="Times" w:hAnsi="Times" w:eastAsia="宋体"/>
          <w:b w:val="0"/>
          <w:sz w:val="20"/>
          <w:lang w:eastAsia="zh-CN"/>
        </w:rPr>
        <w:t>New WID: WI resulting from discussion on RRM enhancements</w:t>
      </w:r>
    </w:p>
    <w:p w14:paraId="200C1A9D">
      <w:pPr>
        <w:pStyle w:val="13"/>
        <w:keepNext w:val="0"/>
        <w:keepLines w:val="0"/>
        <w:pageBreakBefore w:val="0"/>
        <w:framePr w:wrap="auto" w:vAnchor="margin" w:hAnchor="text" w:yAlign="inline"/>
        <w:widowControl w:val="0"/>
        <w:numPr>
          <w:ilvl w:val="0"/>
          <w:numId w:val="11"/>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R4-2508264</w:t>
      </w:r>
      <w:r>
        <w:rPr>
          <w:rFonts w:hint="eastAsia" w:ascii="Times" w:hAnsi="Times" w:eastAsia="宋体"/>
          <w:b w:val="0"/>
          <w:sz w:val="20"/>
          <w:lang w:val="en-US" w:eastAsia="zh-CN"/>
        </w:rPr>
        <w:t>, WF on RRM requirements for NR_RRM_Ph5_Part1, Apple</w:t>
      </w:r>
    </w:p>
    <w:p w14:paraId="3B8F552A">
      <w:pPr>
        <w:pStyle w:val="13"/>
        <w:keepNext w:val="0"/>
        <w:keepLines w:val="0"/>
        <w:pageBreakBefore w:val="0"/>
        <w:framePr w:wrap="auto" w:vAnchor="margin" w:hAnchor="text" w:yAlign="inline"/>
        <w:widowControl w:val="0"/>
        <w:numPr>
          <w:ilvl w:val="0"/>
          <w:numId w:val="11"/>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R4-2504899</w:t>
      </w:r>
      <w:r>
        <w:rPr>
          <w:rFonts w:hint="eastAsia" w:ascii="Times" w:hAnsi="Times" w:eastAsia="宋体"/>
          <w:b w:val="0"/>
          <w:sz w:val="20"/>
          <w:lang w:val="en-US" w:eastAsia="zh-CN"/>
        </w:rPr>
        <w:t>, WF on RRM requirements for NR_RRM_Ph5_Part1, Apple</w:t>
      </w:r>
    </w:p>
    <w:p w14:paraId="341B5EBE">
      <w:pPr>
        <w:pStyle w:val="13"/>
        <w:keepNext w:val="0"/>
        <w:keepLines w:val="0"/>
        <w:pageBreakBefore w:val="0"/>
        <w:framePr w:wrap="auto" w:vAnchor="margin" w:hAnchor="text" w:yAlign="inline"/>
        <w:widowControl w:val="0"/>
        <w:numPr>
          <w:ilvl w:val="0"/>
          <w:numId w:val="11"/>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R4-2502592</w:t>
      </w:r>
      <w:r>
        <w:rPr>
          <w:rFonts w:hint="eastAsia" w:ascii="Times" w:hAnsi="Times" w:eastAsia="宋体"/>
          <w:b w:val="0"/>
          <w:sz w:val="20"/>
          <w:lang w:val="en-US" w:eastAsia="zh-CN"/>
        </w:rPr>
        <w:t>, WF on RRM requirements for NR_RRM_Ph5_Part1, Apple</w:t>
      </w:r>
    </w:p>
    <w:p w14:paraId="7B0F4863">
      <w:pPr>
        <w:pStyle w:val="13"/>
        <w:keepNext w:val="0"/>
        <w:keepLines w:val="0"/>
        <w:pageBreakBefore w:val="0"/>
        <w:framePr w:wrap="auto" w:vAnchor="margin" w:hAnchor="text" w:yAlign="inline"/>
        <w:widowControl w:val="0"/>
        <w:numPr>
          <w:ilvl w:val="0"/>
          <w:numId w:val="11"/>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R4-2420093</w:t>
      </w:r>
      <w:r>
        <w:rPr>
          <w:rFonts w:hint="eastAsia" w:ascii="Times" w:hAnsi="Times" w:eastAsia="宋体"/>
          <w:b w:val="0"/>
          <w:sz w:val="20"/>
          <w:lang w:val="en-US" w:eastAsia="zh-CN"/>
        </w:rPr>
        <w:t>, WF on RRM requirements for NR_RRM_Ph5_Part1, Apple</w:t>
      </w:r>
    </w:p>
    <w:p w14:paraId="23F0DB77">
      <w:pPr>
        <w:pStyle w:val="13"/>
        <w:keepNext w:val="0"/>
        <w:keepLines w:val="0"/>
        <w:pageBreakBefore w:val="0"/>
        <w:framePr w:wrap="auto" w:vAnchor="margin" w:hAnchor="text" w:yAlign="inline"/>
        <w:widowControl w:val="0"/>
        <w:numPr>
          <w:ilvl w:val="0"/>
          <w:numId w:val="11"/>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R4-2416853</w:t>
      </w:r>
      <w:r>
        <w:rPr>
          <w:rFonts w:hint="eastAsia" w:ascii="Times" w:hAnsi="Times" w:eastAsia="宋体"/>
          <w:b w:val="0"/>
          <w:sz w:val="20"/>
          <w:lang w:val="en-US" w:eastAsia="zh-CN"/>
        </w:rPr>
        <w:t>, WF for NR_RRM_Ph5_Part1, Apple</w:t>
      </w:r>
    </w:p>
    <w:p w14:paraId="7551112E">
      <w:pPr>
        <w:pStyle w:val="13"/>
        <w:keepNext w:val="0"/>
        <w:keepLines w:val="0"/>
        <w:pageBreakBefore w:val="0"/>
        <w:framePr w:wrap="auto" w:vAnchor="margin" w:hAnchor="text" w:yAlign="inline"/>
        <w:widowControl w:val="0"/>
        <w:numPr>
          <w:ilvl w:val="0"/>
          <w:numId w:val="11"/>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val="en-US" w:eastAsia="zh-CN"/>
        </w:rPr>
        <w:t>R4-2414026, WF for NR_RRM_Ph5_Part1, Apple</w:t>
      </w:r>
    </w:p>
    <w:p w14:paraId="342A328E">
      <w:pPr>
        <w:pStyle w:val="13"/>
        <w:keepNext w:val="0"/>
        <w:keepLines w:val="0"/>
        <w:pageBreakBefore w:val="0"/>
        <w:framePr w:wrap="auto" w:vAnchor="margin" w:hAnchor="text" w:yAlign="inline"/>
        <w:widowControl w:val="0"/>
        <w:numPr>
          <w:ilvl w:val="0"/>
          <w:numId w:val="11"/>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val="en-US" w:eastAsia="zh-CN"/>
        </w:rPr>
        <w:t>R4-2410260, Way Forward for [111][228] NR_RRM_Ph5</w:t>
      </w:r>
    </w:p>
    <w:p w14:paraId="22376D36">
      <w:pPr>
        <w:pStyle w:val="13"/>
        <w:keepNext w:val="0"/>
        <w:keepLines w:val="0"/>
        <w:pageBreakBefore w:val="0"/>
        <w:framePr w:wrap="auto" w:vAnchor="margin" w:hAnchor="text" w:yAlign="inline"/>
        <w:widowControl w:val="0"/>
        <w:numPr>
          <w:ilvl w:val="0"/>
          <w:numId w:val="11"/>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RP-242380</w:t>
      </w:r>
      <w:r>
        <w:rPr>
          <w:rFonts w:hint="eastAsia" w:ascii="Times" w:hAnsi="Times" w:eastAsia="宋体"/>
          <w:b w:val="0"/>
          <w:sz w:val="20"/>
          <w:lang w:val="en-US" w:eastAsia="zh-CN"/>
        </w:rPr>
        <w:t>, Revised WID: NR Radio Resource Management (RRM) Phase 5</w:t>
      </w:r>
    </w:p>
    <w:p w14:paraId="7080E38C">
      <w:pPr>
        <w:pStyle w:val="13"/>
        <w:keepNext w:val="0"/>
        <w:keepLines w:val="0"/>
        <w:pageBreakBefore w:val="0"/>
        <w:framePr w:wrap="auto" w:vAnchor="margin" w:hAnchor="text" w:yAlign="inline"/>
        <w:widowControl w:val="0"/>
        <w:numPr>
          <w:ilvl w:val="0"/>
          <w:numId w:val="11"/>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val="en-US" w:eastAsia="zh-CN"/>
        </w:rPr>
        <w:t>R4-2406392, WF for [110bis][230] NR_RRM_Ph5, Apple</w:t>
      </w:r>
    </w:p>
    <w:p w14:paraId="214A71F6">
      <w:pPr>
        <w:pStyle w:val="13"/>
        <w:keepNext w:val="0"/>
        <w:keepLines w:val="0"/>
        <w:pageBreakBefore w:val="0"/>
        <w:framePr w:wrap="auto" w:vAnchor="margin" w:hAnchor="text" w:yAlign="inline"/>
        <w:widowControl w:val="0"/>
        <w:numPr>
          <w:ilvl w:val="0"/>
          <w:numId w:val="11"/>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RP-240817</w:t>
      </w:r>
      <w:r>
        <w:rPr>
          <w:rFonts w:hint="eastAsia" w:ascii="Times" w:hAnsi="Times" w:eastAsia="宋体"/>
          <w:b w:val="0"/>
          <w:sz w:val="20"/>
          <w:lang w:val="en-US" w:eastAsia="zh-CN"/>
        </w:rPr>
        <w:t>, Moderator's summary for discussion on RRM enhancements</w:t>
      </w:r>
    </w:p>
    <w:p w14:paraId="425D6FFB">
      <w:pPr>
        <w:pStyle w:val="13"/>
        <w:keepNext w:val="0"/>
        <w:keepLines w:val="0"/>
        <w:pageBreakBefore w:val="0"/>
        <w:framePr w:wrap="auto" w:vAnchor="margin" w:hAnchor="text" w:yAlign="inline"/>
        <w:widowControl w:val="0"/>
        <w:numPr>
          <w:ilvl w:val="0"/>
          <w:numId w:val="0"/>
        </w:numPr>
        <w:kinsoku/>
        <w:wordWrap/>
        <w:overflowPunct w:val="0"/>
        <w:topLinePunct w:val="0"/>
        <w:autoSpaceDE w:val="0"/>
        <w:autoSpaceDN w:val="0"/>
        <w:bidi w:val="0"/>
        <w:adjustRightInd w:val="0"/>
        <w:snapToGrid/>
        <w:spacing w:line="240" w:lineRule="auto"/>
        <w:ind w:right="403" w:rightChars="0"/>
        <w:jc w:val="both"/>
        <w:textAlignment w:val="baseline"/>
        <w:rPr>
          <w:rFonts w:ascii="Times" w:hAnsi="Times" w:eastAsia="宋体"/>
          <w:b w:val="0"/>
          <w:sz w:val="20"/>
          <w:lang w:eastAsia="zh-CN"/>
        </w:rPr>
      </w:pPr>
    </w:p>
    <w:p w14:paraId="5B61555D">
      <w:pPr>
        <w:pStyle w:val="13"/>
        <w:framePr w:wrap="auto" w:vAnchor="margin" w:hAnchor="text" w:yAlign="inline"/>
        <w:ind w:right="400"/>
        <w:jc w:val="both"/>
        <w:rPr>
          <w:rFonts w:ascii="Times" w:hAnsi="Times" w:eastAsia="宋体"/>
          <w:b w:val="0"/>
          <w:sz w:val="20"/>
          <w:lang w:eastAsia="zh-CN"/>
        </w:rPr>
      </w:pPr>
    </w:p>
    <w:p w14:paraId="0324880D">
      <w:pPr>
        <w:pStyle w:val="13"/>
        <w:framePr w:wrap="auto" w:vAnchor="margin" w:hAnchor="text" w:yAlign="inline"/>
        <w:ind w:right="400"/>
        <w:jc w:val="both"/>
        <w:rPr>
          <w:rFonts w:hint="eastAsia" w:ascii="Times" w:hAnsi="Times" w:eastAsia="宋体"/>
          <w:b w:val="0"/>
          <w:sz w:val="20"/>
          <w:lang w:val="en-US" w:eastAsia="zh-CN"/>
        </w:rPr>
      </w:pPr>
    </w:p>
    <w:p w14:paraId="536EF693"/>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等线">
    <w:panose1 w:val="02010600030101010101"/>
    <w:charset w:val="86"/>
    <w:family w:val="auto"/>
    <w:pitch w:val="default"/>
    <w:sig w:usb0="A00002BF"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3478C47"/>
    <w:multiLevelType w:val="multilevel"/>
    <w:tmpl w:val="A3478C47"/>
    <w:lvl w:ilvl="0" w:tentative="0">
      <w:start w:val="1"/>
      <w:numFmt w:val="bullet"/>
      <w:lvlText w:val=""/>
      <w:lvlJc w:val="left"/>
      <w:pPr>
        <w:tabs>
          <w:tab w:val="left" w:pos="840"/>
        </w:tabs>
        <w:ind w:left="1260" w:hanging="420"/>
      </w:pPr>
      <w:rPr>
        <w:rFonts w:hint="default" w:ascii="Wingdings" w:hAnsi="Wingdings"/>
      </w:rPr>
    </w:lvl>
    <w:lvl w:ilvl="1" w:tentative="0">
      <w:start w:val="1"/>
      <w:numFmt w:val="bullet"/>
      <w:lvlText w:val=""/>
      <w:lvlJc w:val="left"/>
      <w:pPr>
        <w:tabs>
          <w:tab w:val="left" w:pos="840"/>
        </w:tabs>
        <w:ind w:left="1680" w:hanging="420"/>
      </w:pPr>
      <w:rPr>
        <w:rFonts w:hint="default"/>
      </w:rPr>
    </w:lvl>
    <w:lvl w:ilvl="2" w:tentative="0">
      <w:start w:val="1"/>
      <w:numFmt w:val="bullet"/>
      <w:lvlText w:val=""/>
      <w:lvlJc w:val="left"/>
      <w:pPr>
        <w:tabs>
          <w:tab w:val="left" w:pos="1260"/>
        </w:tabs>
        <w:ind w:left="2100" w:hanging="420"/>
      </w:pPr>
      <w:rPr>
        <w:rFonts w:hint="default"/>
      </w:rPr>
    </w:lvl>
    <w:lvl w:ilvl="3" w:tentative="0">
      <w:start w:val="1"/>
      <w:numFmt w:val="bullet"/>
      <w:lvlText w:val=""/>
      <w:lvlJc w:val="left"/>
      <w:pPr>
        <w:tabs>
          <w:tab w:val="left" w:pos="1680"/>
        </w:tabs>
        <w:ind w:left="2520" w:hanging="420"/>
      </w:pPr>
      <w:rPr>
        <w:rFonts w:hint="default"/>
      </w:rPr>
    </w:lvl>
    <w:lvl w:ilvl="4" w:tentative="0">
      <w:start w:val="1"/>
      <w:numFmt w:val="bullet"/>
      <w:lvlText w:val=""/>
      <w:lvlJc w:val="left"/>
      <w:pPr>
        <w:tabs>
          <w:tab w:val="left" w:pos="2100"/>
        </w:tabs>
        <w:ind w:left="2940" w:hanging="420"/>
      </w:pPr>
      <w:rPr>
        <w:rFonts w:hint="default"/>
      </w:rPr>
    </w:lvl>
    <w:lvl w:ilvl="5" w:tentative="0">
      <w:start w:val="1"/>
      <w:numFmt w:val="bullet"/>
      <w:lvlText w:val=""/>
      <w:lvlJc w:val="left"/>
      <w:pPr>
        <w:tabs>
          <w:tab w:val="left" w:pos="2520"/>
        </w:tabs>
        <w:ind w:left="3360" w:hanging="420"/>
      </w:pPr>
      <w:rPr>
        <w:rFonts w:hint="default"/>
      </w:rPr>
    </w:lvl>
    <w:lvl w:ilvl="6" w:tentative="0">
      <w:start w:val="1"/>
      <w:numFmt w:val="bullet"/>
      <w:lvlText w:val=""/>
      <w:lvlJc w:val="left"/>
      <w:pPr>
        <w:tabs>
          <w:tab w:val="left" w:pos="2940"/>
        </w:tabs>
        <w:ind w:left="3780" w:hanging="420"/>
      </w:pPr>
      <w:rPr>
        <w:rFonts w:hint="default"/>
      </w:rPr>
    </w:lvl>
    <w:lvl w:ilvl="7" w:tentative="0">
      <w:start w:val="1"/>
      <w:numFmt w:val="bullet"/>
      <w:lvlText w:val=""/>
      <w:lvlJc w:val="left"/>
      <w:pPr>
        <w:tabs>
          <w:tab w:val="left" w:pos="3360"/>
        </w:tabs>
        <w:ind w:left="4200" w:hanging="420"/>
      </w:pPr>
      <w:rPr>
        <w:rFonts w:hint="default"/>
      </w:rPr>
    </w:lvl>
    <w:lvl w:ilvl="8" w:tentative="0">
      <w:start w:val="1"/>
      <w:numFmt w:val="bullet"/>
      <w:lvlText w:val=""/>
      <w:lvlJc w:val="left"/>
      <w:pPr>
        <w:tabs>
          <w:tab w:val="left" w:pos="3780"/>
        </w:tabs>
        <w:ind w:left="4620" w:hanging="420"/>
      </w:pPr>
      <w:rPr>
        <w:rFonts w:hint="default"/>
      </w:rPr>
    </w:lvl>
  </w:abstractNum>
  <w:abstractNum w:abstractNumId="1">
    <w:nsid w:val="A8E93B25"/>
    <w:multiLevelType w:val="singleLevel"/>
    <w:tmpl w:val="A8E93B25"/>
    <w:lvl w:ilvl="0" w:tentative="0">
      <w:start w:val="1"/>
      <w:numFmt w:val="bullet"/>
      <w:lvlText w:val=""/>
      <w:lvlJc w:val="left"/>
      <w:pPr>
        <w:ind w:left="420" w:hanging="420"/>
      </w:pPr>
      <w:rPr>
        <w:rFonts w:hint="default" w:ascii="Wingdings" w:hAnsi="Wingdings"/>
      </w:rPr>
    </w:lvl>
  </w:abstractNum>
  <w:abstractNum w:abstractNumId="2">
    <w:nsid w:val="DFEA373E"/>
    <w:multiLevelType w:val="multilevel"/>
    <w:tmpl w:val="DFEA373E"/>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rPr>
    </w:lvl>
    <w:lvl w:ilvl="2" w:tentative="0">
      <w:start w:val="1"/>
      <w:numFmt w:val="bullet"/>
      <w:lvlText w:val=""/>
      <w:lvlJc w:val="left"/>
      <w:pPr>
        <w:tabs>
          <w:tab w:val="left" w:pos="1260"/>
        </w:tabs>
        <w:ind w:left="1260" w:hanging="420"/>
      </w:pPr>
      <w:rPr>
        <w:rFonts w:hint="default"/>
      </w:rPr>
    </w:lvl>
    <w:lvl w:ilvl="3" w:tentative="0">
      <w:start w:val="1"/>
      <w:numFmt w:val="bullet"/>
      <w:lvlText w:val=""/>
      <w:lvlJc w:val="left"/>
      <w:pPr>
        <w:tabs>
          <w:tab w:val="left" w:pos="1680"/>
        </w:tabs>
        <w:ind w:left="1680" w:hanging="420"/>
      </w:pPr>
      <w:rPr>
        <w:rFonts w:hint="default"/>
      </w:rPr>
    </w:lvl>
    <w:lvl w:ilvl="4" w:tentative="0">
      <w:start w:val="1"/>
      <w:numFmt w:val="bullet"/>
      <w:lvlText w:val=""/>
      <w:lvlJc w:val="left"/>
      <w:pPr>
        <w:tabs>
          <w:tab w:val="left" w:pos="2100"/>
        </w:tabs>
        <w:ind w:left="2100" w:hanging="420"/>
      </w:pPr>
      <w:rPr>
        <w:rFonts w:hint="default"/>
      </w:rPr>
    </w:lvl>
    <w:lvl w:ilvl="5" w:tentative="0">
      <w:start w:val="1"/>
      <w:numFmt w:val="bullet"/>
      <w:lvlText w:val=""/>
      <w:lvlJc w:val="left"/>
      <w:pPr>
        <w:tabs>
          <w:tab w:val="left" w:pos="2520"/>
        </w:tabs>
        <w:ind w:left="2520" w:hanging="420"/>
      </w:pPr>
      <w:rPr>
        <w:rFonts w:hint="default"/>
      </w:rPr>
    </w:lvl>
    <w:lvl w:ilvl="6" w:tentative="0">
      <w:start w:val="1"/>
      <w:numFmt w:val="bullet"/>
      <w:lvlText w:val=""/>
      <w:lvlJc w:val="left"/>
      <w:pPr>
        <w:tabs>
          <w:tab w:val="left" w:pos="2940"/>
        </w:tabs>
        <w:ind w:left="2940" w:hanging="420"/>
      </w:pPr>
      <w:rPr>
        <w:rFonts w:hint="default"/>
      </w:rPr>
    </w:lvl>
    <w:lvl w:ilvl="7" w:tentative="0">
      <w:start w:val="1"/>
      <w:numFmt w:val="bullet"/>
      <w:lvlText w:val=""/>
      <w:lvlJc w:val="left"/>
      <w:pPr>
        <w:tabs>
          <w:tab w:val="left" w:pos="3360"/>
        </w:tabs>
        <w:ind w:left="3360" w:hanging="420"/>
      </w:pPr>
      <w:rPr>
        <w:rFonts w:hint="default"/>
      </w:rPr>
    </w:lvl>
    <w:lvl w:ilvl="8" w:tentative="0">
      <w:start w:val="1"/>
      <w:numFmt w:val="bullet"/>
      <w:lvlText w:val=""/>
      <w:lvlJc w:val="left"/>
      <w:pPr>
        <w:tabs>
          <w:tab w:val="left" w:pos="3780"/>
        </w:tabs>
        <w:ind w:left="3780" w:hanging="420"/>
      </w:pPr>
      <w:rPr>
        <w:rFonts w:hint="default"/>
      </w:rPr>
    </w:lvl>
  </w:abstractNum>
  <w:abstractNum w:abstractNumId="3">
    <w:nsid w:val="1E9EF811"/>
    <w:multiLevelType w:val="singleLevel"/>
    <w:tmpl w:val="1E9EF811"/>
    <w:lvl w:ilvl="0" w:tentative="0">
      <w:start w:val="1"/>
      <w:numFmt w:val="decimal"/>
      <w:suff w:val="space"/>
      <w:lvlText w:val="[%1]"/>
      <w:lvlJc w:val="left"/>
    </w:lvl>
  </w:abstractNum>
  <w:abstractNum w:abstractNumId="4">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5">
    <w:nsid w:val="2811A132"/>
    <w:multiLevelType w:val="multilevel"/>
    <w:tmpl w:val="2811A132"/>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rPr>
    </w:lvl>
    <w:lvl w:ilvl="2" w:tentative="0">
      <w:start w:val="1"/>
      <w:numFmt w:val="bullet"/>
      <w:lvlText w:val=""/>
      <w:lvlJc w:val="left"/>
      <w:pPr>
        <w:tabs>
          <w:tab w:val="left" w:pos="1260"/>
        </w:tabs>
        <w:ind w:left="1260" w:hanging="420"/>
      </w:pPr>
      <w:rPr>
        <w:rFonts w:hint="default"/>
      </w:rPr>
    </w:lvl>
    <w:lvl w:ilvl="3" w:tentative="0">
      <w:start w:val="1"/>
      <w:numFmt w:val="bullet"/>
      <w:lvlText w:val=""/>
      <w:lvlJc w:val="left"/>
      <w:pPr>
        <w:tabs>
          <w:tab w:val="left" w:pos="1680"/>
        </w:tabs>
        <w:ind w:left="1680" w:hanging="420"/>
      </w:pPr>
      <w:rPr>
        <w:rFonts w:hint="default"/>
      </w:rPr>
    </w:lvl>
    <w:lvl w:ilvl="4" w:tentative="0">
      <w:start w:val="1"/>
      <w:numFmt w:val="bullet"/>
      <w:lvlText w:val=""/>
      <w:lvlJc w:val="left"/>
      <w:pPr>
        <w:tabs>
          <w:tab w:val="left" w:pos="2100"/>
        </w:tabs>
        <w:ind w:left="2100" w:hanging="420"/>
      </w:pPr>
      <w:rPr>
        <w:rFonts w:hint="default"/>
      </w:rPr>
    </w:lvl>
    <w:lvl w:ilvl="5" w:tentative="0">
      <w:start w:val="1"/>
      <w:numFmt w:val="bullet"/>
      <w:lvlText w:val=""/>
      <w:lvlJc w:val="left"/>
      <w:pPr>
        <w:tabs>
          <w:tab w:val="left" w:pos="2520"/>
        </w:tabs>
        <w:ind w:left="2520" w:hanging="420"/>
      </w:pPr>
      <w:rPr>
        <w:rFonts w:hint="default"/>
      </w:rPr>
    </w:lvl>
    <w:lvl w:ilvl="6" w:tentative="0">
      <w:start w:val="1"/>
      <w:numFmt w:val="bullet"/>
      <w:lvlText w:val=""/>
      <w:lvlJc w:val="left"/>
      <w:pPr>
        <w:tabs>
          <w:tab w:val="left" w:pos="2940"/>
        </w:tabs>
        <w:ind w:left="2940" w:hanging="420"/>
      </w:pPr>
      <w:rPr>
        <w:rFonts w:hint="default"/>
      </w:rPr>
    </w:lvl>
    <w:lvl w:ilvl="7" w:tentative="0">
      <w:start w:val="1"/>
      <w:numFmt w:val="bullet"/>
      <w:lvlText w:val=""/>
      <w:lvlJc w:val="left"/>
      <w:pPr>
        <w:tabs>
          <w:tab w:val="left" w:pos="3360"/>
        </w:tabs>
        <w:ind w:left="3360" w:hanging="420"/>
      </w:pPr>
      <w:rPr>
        <w:rFonts w:hint="default"/>
      </w:rPr>
    </w:lvl>
    <w:lvl w:ilvl="8" w:tentative="0">
      <w:start w:val="1"/>
      <w:numFmt w:val="bullet"/>
      <w:lvlText w:val=""/>
      <w:lvlJc w:val="left"/>
      <w:pPr>
        <w:tabs>
          <w:tab w:val="left" w:pos="3780"/>
        </w:tabs>
        <w:ind w:left="3780" w:hanging="420"/>
      </w:pPr>
      <w:rPr>
        <w:rFonts w:hint="default"/>
      </w:rPr>
    </w:lvl>
  </w:abstractNum>
  <w:abstractNum w:abstractNumId="6">
    <w:nsid w:val="40D21E41"/>
    <w:multiLevelType w:val="multilevel"/>
    <w:tmpl w:val="40D21E41"/>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hanging="420"/>
      </w:pPr>
      <w:rPr>
        <w:rFonts w:hint="default"/>
      </w:rPr>
    </w:lvl>
    <w:lvl w:ilvl="2" w:tentative="0">
      <w:start w:val="1"/>
      <w:numFmt w:val="bullet"/>
      <w:lvlText w:val=""/>
      <w:lvlJc w:val="left"/>
      <w:pPr>
        <w:tabs>
          <w:tab w:val="left" w:pos="1260"/>
        </w:tabs>
        <w:ind w:left="1680" w:hanging="420"/>
      </w:pPr>
      <w:rPr>
        <w:rFonts w:hint="default"/>
      </w:rPr>
    </w:lvl>
    <w:lvl w:ilvl="3" w:tentative="0">
      <w:start w:val="1"/>
      <w:numFmt w:val="bullet"/>
      <w:lvlText w:val=""/>
      <w:lvlJc w:val="left"/>
      <w:pPr>
        <w:tabs>
          <w:tab w:val="left" w:pos="1680"/>
        </w:tabs>
        <w:ind w:left="2100" w:hanging="420"/>
      </w:pPr>
      <w:rPr>
        <w:rFonts w:hint="default"/>
      </w:rPr>
    </w:lvl>
    <w:lvl w:ilvl="4" w:tentative="0">
      <w:start w:val="1"/>
      <w:numFmt w:val="bullet"/>
      <w:lvlText w:val=""/>
      <w:lvlJc w:val="left"/>
      <w:pPr>
        <w:tabs>
          <w:tab w:val="left" w:pos="2100"/>
        </w:tabs>
        <w:ind w:left="2520" w:hanging="420"/>
      </w:pPr>
      <w:rPr>
        <w:rFonts w:hint="default"/>
      </w:rPr>
    </w:lvl>
    <w:lvl w:ilvl="5" w:tentative="0">
      <w:start w:val="1"/>
      <w:numFmt w:val="bullet"/>
      <w:lvlText w:val=""/>
      <w:lvlJc w:val="left"/>
      <w:pPr>
        <w:tabs>
          <w:tab w:val="left" w:pos="2520"/>
        </w:tabs>
        <w:ind w:left="2940" w:hanging="420"/>
      </w:pPr>
      <w:rPr>
        <w:rFonts w:hint="default"/>
      </w:rPr>
    </w:lvl>
    <w:lvl w:ilvl="6" w:tentative="0">
      <w:start w:val="1"/>
      <w:numFmt w:val="bullet"/>
      <w:lvlText w:val=""/>
      <w:lvlJc w:val="left"/>
      <w:pPr>
        <w:tabs>
          <w:tab w:val="left" w:pos="2940"/>
        </w:tabs>
        <w:ind w:left="3360" w:hanging="420"/>
      </w:pPr>
      <w:rPr>
        <w:rFonts w:hint="default"/>
      </w:rPr>
    </w:lvl>
    <w:lvl w:ilvl="7" w:tentative="0">
      <w:start w:val="1"/>
      <w:numFmt w:val="bullet"/>
      <w:lvlText w:val=""/>
      <w:lvlJc w:val="left"/>
      <w:pPr>
        <w:tabs>
          <w:tab w:val="left" w:pos="3360"/>
        </w:tabs>
        <w:ind w:left="3780" w:hanging="420"/>
      </w:pPr>
      <w:rPr>
        <w:rFonts w:hint="default"/>
      </w:rPr>
    </w:lvl>
    <w:lvl w:ilvl="8" w:tentative="0">
      <w:start w:val="1"/>
      <w:numFmt w:val="bullet"/>
      <w:lvlText w:val=""/>
      <w:lvlJc w:val="left"/>
      <w:pPr>
        <w:tabs>
          <w:tab w:val="left" w:pos="3780"/>
        </w:tabs>
        <w:ind w:left="4200" w:hanging="420"/>
      </w:pPr>
      <w:rPr>
        <w:rFonts w:hint="default"/>
      </w:rPr>
    </w:lvl>
  </w:abstractNum>
  <w:abstractNum w:abstractNumId="7">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8">
    <w:nsid w:val="5B575726"/>
    <w:multiLevelType w:val="multilevel"/>
    <w:tmpl w:val="5B575726"/>
    <w:lvl w:ilvl="0" w:tentative="0">
      <w:start w:val="1"/>
      <w:numFmt w:val="bullet"/>
      <w:lvlText w:val="-"/>
      <w:lvlJc w:val="left"/>
      <w:pPr>
        <w:ind w:left="720" w:hanging="360"/>
      </w:pPr>
      <w:rPr>
        <w:rFonts w:hint="default" w:ascii="Arial" w:hAnsi="Arial" w:eastAsia="宋体" w:cs="Aria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70146DC0"/>
    <w:multiLevelType w:val="multilevel"/>
    <w:tmpl w:val="70146DC0"/>
    <w:lvl w:ilvl="0" w:tentative="0">
      <w:start w:val="1"/>
      <w:numFmt w:val="bullet"/>
      <w:pStyle w:val="19"/>
      <w:lvlText w:val=""/>
      <w:lvlJc w:val="left"/>
      <w:pPr>
        <w:tabs>
          <w:tab w:val="left" w:pos="1619"/>
        </w:tabs>
        <w:ind w:left="1619" w:hanging="360"/>
      </w:pPr>
      <w:rPr>
        <w:rFonts w:hint="default" w:ascii="Symbol" w:hAnsi="Symbol"/>
        <w:b/>
        <w:i w:val="0"/>
        <w:strike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pStyle w:val="3"/>
      <w:lvlText w:val="%1.%2"/>
      <w:lvlJc w:val="left"/>
      <w:pPr>
        <w:tabs>
          <w:tab w:val="left" w:pos="576"/>
        </w:tabs>
        <w:ind w:left="576" w:hanging="576"/>
      </w:pPr>
      <w:rPr>
        <w:rFonts w:hint="default"/>
        <w:color w:val="000000"/>
        <w:u w:val="none"/>
      </w:rPr>
    </w:lvl>
    <w:lvl w:ilvl="2" w:tentative="0">
      <w:start w:val="1"/>
      <w:numFmt w:val="decimal"/>
      <w:pStyle w:val="4"/>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10"/>
  </w:num>
  <w:num w:numId="2">
    <w:abstractNumId w:val="9"/>
  </w:num>
  <w:num w:numId="3">
    <w:abstractNumId w:val="4"/>
  </w:num>
  <w:num w:numId="4">
    <w:abstractNumId w:val="5"/>
  </w:num>
  <w:num w:numId="5">
    <w:abstractNumId w:val="6"/>
  </w:num>
  <w:num w:numId="6">
    <w:abstractNumId w:val="0"/>
  </w:num>
  <w:num w:numId="7">
    <w:abstractNumId w:val="2"/>
  </w:num>
  <w:num w:numId="8">
    <w:abstractNumId w:val="1"/>
  </w:num>
  <w:num w:numId="9">
    <w:abstractNumId w:val="7"/>
  </w:num>
  <w:num w:numId="10">
    <w:abstractNumId w:val="8"/>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4C0ED1"/>
    <w:rsid w:val="039B37C7"/>
    <w:rsid w:val="066675EE"/>
    <w:rsid w:val="095F3199"/>
    <w:rsid w:val="0A424F95"/>
    <w:rsid w:val="0C18633A"/>
    <w:rsid w:val="102962AF"/>
    <w:rsid w:val="154B4C98"/>
    <w:rsid w:val="1A9346AF"/>
    <w:rsid w:val="1AFD104A"/>
    <w:rsid w:val="1CA473E9"/>
    <w:rsid w:val="1E262080"/>
    <w:rsid w:val="1EA13FCF"/>
    <w:rsid w:val="1F9B323A"/>
    <w:rsid w:val="20136430"/>
    <w:rsid w:val="210324B5"/>
    <w:rsid w:val="21A66A88"/>
    <w:rsid w:val="22F84732"/>
    <w:rsid w:val="238A445D"/>
    <w:rsid w:val="25E20F82"/>
    <w:rsid w:val="26960BDD"/>
    <w:rsid w:val="27C80F70"/>
    <w:rsid w:val="286B1A5C"/>
    <w:rsid w:val="295A479C"/>
    <w:rsid w:val="2BB92149"/>
    <w:rsid w:val="2E7C01C6"/>
    <w:rsid w:val="32FE5564"/>
    <w:rsid w:val="342A6B27"/>
    <w:rsid w:val="360D33BD"/>
    <w:rsid w:val="36292328"/>
    <w:rsid w:val="39237555"/>
    <w:rsid w:val="39A706A6"/>
    <w:rsid w:val="3B511B0B"/>
    <w:rsid w:val="3C401AE2"/>
    <w:rsid w:val="44525938"/>
    <w:rsid w:val="48823F01"/>
    <w:rsid w:val="501A7B4F"/>
    <w:rsid w:val="52971E0E"/>
    <w:rsid w:val="534263BF"/>
    <w:rsid w:val="55A519A4"/>
    <w:rsid w:val="56185140"/>
    <w:rsid w:val="59231E6E"/>
    <w:rsid w:val="59B212B6"/>
    <w:rsid w:val="5C2B1D85"/>
    <w:rsid w:val="60455DBA"/>
    <w:rsid w:val="60F8227F"/>
    <w:rsid w:val="645A4B51"/>
    <w:rsid w:val="663E7534"/>
    <w:rsid w:val="66D222BD"/>
    <w:rsid w:val="6782683B"/>
    <w:rsid w:val="67A4673A"/>
    <w:rsid w:val="67CD705D"/>
    <w:rsid w:val="6A306848"/>
    <w:rsid w:val="6BA25424"/>
    <w:rsid w:val="6BBF44D0"/>
    <w:rsid w:val="6C1808E6"/>
    <w:rsid w:val="6D673814"/>
    <w:rsid w:val="6F126DC6"/>
    <w:rsid w:val="73C17630"/>
    <w:rsid w:val="73F658CE"/>
    <w:rsid w:val="74C23D1D"/>
    <w:rsid w:val="7B17752E"/>
    <w:rsid w:val="7EDD14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iPriority="99"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paragraph" w:styleId="3">
    <w:name w:val="heading 2"/>
    <w:basedOn w:val="2"/>
    <w:next w:val="1"/>
    <w:qFormat/>
    <w:uiPriority w:val="0"/>
    <w:pPr>
      <w:numPr>
        <w:ilvl w:val="1"/>
      </w:numPr>
      <w:pBdr>
        <w:top w:val="none" w:color="auto" w:sz="0" w:space="0"/>
      </w:pBdr>
      <w:spacing w:before="180"/>
      <w:outlineLvl w:val="1"/>
    </w:pPr>
    <w:rPr>
      <w:sz w:val="28"/>
      <w:szCs w:val="18"/>
      <w:lang w:eastAsia="zh-CN"/>
    </w:rPr>
  </w:style>
  <w:style w:type="paragraph" w:styleId="4">
    <w:name w:val="heading 3"/>
    <w:basedOn w:val="3"/>
    <w:next w:val="1"/>
    <w:qFormat/>
    <w:uiPriority w:val="0"/>
    <w:pPr>
      <w:numPr>
        <w:ilvl w:val="2"/>
      </w:numPr>
      <w:spacing w:before="120"/>
      <w:outlineLvl w:val="2"/>
    </w:p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annotation text"/>
    <w:basedOn w:val="1"/>
    <w:qFormat/>
    <w:uiPriority w:val="99"/>
  </w:style>
  <w:style w:type="paragraph" w:styleId="6">
    <w:name w:val="Body Text"/>
    <w:basedOn w:val="1"/>
    <w:unhideWhenUsed/>
    <w:qFormat/>
    <w:uiPriority w:val="99"/>
    <w:pPr>
      <w:spacing w:before="40" w:after="120" w:line="256" w:lineRule="auto"/>
      <w:jc w:val="left"/>
    </w:pPr>
    <w:rPr>
      <w:rFonts w:eastAsia="MS Mincho" w:cs="Times New Roman"/>
      <w:kern w:val="0"/>
      <w:sz w:val="20"/>
      <w:szCs w:val="20"/>
    </w:rPr>
  </w:style>
  <w:style w:type="paragraph" w:styleId="7">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paragraph" w:styleId="8">
    <w:name w:val="List"/>
    <w:basedOn w:val="1"/>
    <w:semiHidden/>
    <w:unhideWhenUsed/>
    <w:qFormat/>
    <w:uiPriority w:val="99"/>
    <w:pPr>
      <w:overflowPunct w:val="0"/>
      <w:autoSpaceDE w:val="0"/>
      <w:autoSpaceDN w:val="0"/>
      <w:adjustRightInd w:val="0"/>
      <w:spacing w:after="180"/>
      <w:ind w:left="360" w:hanging="360"/>
      <w:contextualSpacing/>
      <w:jc w:val="left"/>
      <w:textAlignment w:val="baseline"/>
    </w:pPr>
    <w:rPr>
      <w:rFonts w:ascii="Times New Roman" w:hAnsi="Times New Roman" w:cs="Times New Roman" w:eastAsiaTheme="minorEastAsia"/>
      <w:kern w:val="0"/>
      <w:sz w:val="20"/>
      <w:szCs w:val="20"/>
      <w:lang w:val="en-GB" w:eastAsia="en-GB"/>
    </w:rPr>
  </w:style>
  <w:style w:type="table" w:styleId="10">
    <w:name w:val="Table Grid"/>
    <w:basedOn w:val="9"/>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2">
    <w:name w:val="List Paragraph"/>
    <w:basedOn w:val="1"/>
    <w:qFormat/>
    <w:uiPriority w:val="34"/>
    <w:pPr>
      <w:widowControl/>
      <w:ind w:firstLine="420" w:firstLineChars="200"/>
      <w:jc w:val="left"/>
    </w:pPr>
    <w:rPr>
      <w:rFonts w:ascii="宋体" w:hAnsi="宋体"/>
      <w:kern w:val="0"/>
    </w:rPr>
  </w:style>
  <w:style w:type="paragraph" w:customStyle="1" w:styleId="13">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4">
    <w:name w:val="TH"/>
    <w:basedOn w:val="1"/>
    <w:qFormat/>
    <w:uiPriority w:val="0"/>
    <w:pPr>
      <w:keepNext/>
      <w:keepLines/>
      <w:spacing w:before="60"/>
      <w:jc w:val="center"/>
    </w:pPr>
    <w:rPr>
      <w:rFonts w:ascii="Arial" w:hAnsi="Arial"/>
      <w:b/>
    </w:rPr>
  </w:style>
  <w:style w:type="paragraph" w:customStyle="1" w:styleId="15">
    <w:name w:val="TAH"/>
    <w:basedOn w:val="16"/>
    <w:qFormat/>
    <w:uiPriority w:val="0"/>
    <w:rPr>
      <w:b/>
    </w:rPr>
  </w:style>
  <w:style w:type="paragraph" w:customStyle="1" w:styleId="16">
    <w:name w:val="TAC"/>
    <w:basedOn w:val="17"/>
    <w:qFormat/>
    <w:uiPriority w:val="0"/>
    <w:pPr>
      <w:jc w:val="center"/>
    </w:pPr>
  </w:style>
  <w:style w:type="paragraph" w:customStyle="1" w:styleId="17">
    <w:name w:val="TAL"/>
    <w:basedOn w:val="1"/>
    <w:qFormat/>
    <w:uiPriority w:val="0"/>
    <w:pPr>
      <w:keepNext/>
      <w:keepLines/>
      <w:spacing w:after="0"/>
    </w:pPr>
    <w:rPr>
      <w:rFonts w:ascii="Arial" w:hAnsi="Arial"/>
      <w:sz w:val="18"/>
    </w:rPr>
  </w:style>
  <w:style w:type="paragraph" w:customStyle="1" w:styleId="18">
    <w:name w:val="TAN"/>
    <w:basedOn w:val="17"/>
    <w:qFormat/>
    <w:uiPriority w:val="0"/>
    <w:pPr>
      <w:ind w:left="851" w:hanging="851"/>
    </w:pPr>
  </w:style>
  <w:style w:type="paragraph" w:customStyle="1" w:styleId="19">
    <w:name w:val="Agreement"/>
    <w:basedOn w:val="1"/>
    <w:next w:val="1"/>
    <w:qFormat/>
    <w:uiPriority w:val="99"/>
    <w:pPr>
      <w:numPr>
        <w:ilvl w:val="0"/>
        <w:numId w:val="2"/>
      </w:numPr>
      <w:spacing w:before="60"/>
      <w:jc w:val="left"/>
    </w:pPr>
    <w:rPr>
      <w:rFonts w:eastAsia="MS Mincho" w:cs="Times New Roman"/>
      <w:b/>
      <w:kern w:val="0"/>
      <w:sz w:val="20"/>
      <w:szCs w:val="24"/>
      <w:lang w:val="en-GB" w:eastAsia="en-GB"/>
    </w:rPr>
  </w:style>
  <w:style w:type="paragraph" w:customStyle="1" w:styleId="20">
    <w:name w:val="B1"/>
    <w:basedOn w:val="8"/>
    <w:qFormat/>
    <w:uiPriority w:val="0"/>
    <w:pPr>
      <w:ind w:left="568" w:hanging="284"/>
      <w:contextualSpacing w:val="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2024-11-04T01:51:00Z</dcterms:created>
  <dc:creator>cmcc</dc:creator>
  <cp:lastModifiedBy>CMCC-RAN4#116</cp:lastModifiedBy>
  <dcterms:modified xsi:type="dcterms:W3CDTF">2025-08-15T08:02:42Z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99CA3F75D69E410D84A4BB8A3F58CF13</vt:lpwstr>
  </property>
</Properties>
</file>